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90A0">
      <w:pPr>
        <w:keepNext w:val="0"/>
        <w:keepLines w:val="0"/>
        <w:pageBreakBefore w:val="0"/>
        <w:widowControl/>
        <w:numPr>
          <w:ilvl w:val="0"/>
          <w:numId w:val="0"/>
        </w:numPr>
        <w:kinsoku/>
        <w:wordWrap/>
        <w:overflowPunct/>
        <w:topLinePunct w:val="0"/>
        <w:autoSpaceDE/>
        <w:autoSpaceDN/>
        <w:bidi w:val="0"/>
        <w:adjustRightInd/>
        <w:snapToGrid/>
        <w:spacing w:line="570" w:lineRule="exact"/>
        <w:jc w:val="left"/>
        <w:textAlignment w:val="auto"/>
        <w:outlineLvl w:val="0"/>
        <w:rPr>
          <w:rFonts w:hint="eastAsia" w:ascii="宋体" w:hAnsi="宋体" w:eastAsia="方正黑体_GBK" w:cs="方正黑体_GBK"/>
          <w:spacing w:val="0"/>
          <w:sz w:val="32"/>
          <w:szCs w:val="32"/>
          <w:highlight w:val="none"/>
          <w:lang w:val="en-US" w:eastAsia="zh-CN"/>
        </w:rPr>
      </w:pPr>
      <w:r>
        <w:rPr>
          <w:rFonts w:hint="eastAsia" w:ascii="宋体" w:hAnsi="宋体" w:eastAsia="方正黑体_GBK" w:cs="方正黑体_GBK"/>
          <w:spacing w:val="0"/>
          <w:sz w:val="32"/>
          <w:szCs w:val="32"/>
          <w:highlight w:val="none"/>
          <w:lang w:val="en-US" w:eastAsia="zh-CN"/>
        </w:rPr>
        <w:t>附件</w:t>
      </w:r>
    </w:p>
    <w:p w14:paraId="6E0E4CD8">
      <w:pPr>
        <w:keepNext w:val="0"/>
        <w:keepLines w:val="0"/>
        <w:pageBreakBefore w:val="0"/>
        <w:widowControl/>
        <w:numPr>
          <w:ilvl w:val="0"/>
          <w:numId w:val="0"/>
        </w:numPr>
        <w:kinsoku/>
        <w:wordWrap/>
        <w:overflowPunct/>
        <w:topLinePunct w:val="0"/>
        <w:autoSpaceDE/>
        <w:autoSpaceDN/>
        <w:bidi w:val="0"/>
        <w:adjustRightInd/>
        <w:snapToGrid/>
        <w:spacing w:line="570" w:lineRule="exact"/>
        <w:jc w:val="left"/>
        <w:textAlignment w:val="auto"/>
        <w:outlineLvl w:val="0"/>
        <w:rPr>
          <w:rFonts w:hint="eastAsia" w:ascii="宋体" w:hAnsi="宋体" w:eastAsia="方正黑体_GBK" w:cs="方正黑体_GBK"/>
          <w:spacing w:val="0"/>
          <w:sz w:val="32"/>
          <w:szCs w:val="32"/>
          <w:highlight w:val="none"/>
          <w:lang w:val="en-US" w:eastAsia="zh-CN"/>
        </w:rPr>
      </w:pPr>
    </w:p>
    <w:p w14:paraId="5440183B">
      <w:pPr>
        <w:numPr>
          <w:ilvl w:val="0"/>
          <w:numId w:val="0"/>
        </w:numPr>
        <w:spacing w:line="570" w:lineRule="exact"/>
        <w:jc w:val="center"/>
        <w:outlineLvl w:val="0"/>
        <w:rPr>
          <w:rFonts w:hint="eastAsia" w:ascii="宋体" w:hAnsi="宋体" w:eastAsia="方正小标宋_GBK" w:cs="方正小标宋_GBK"/>
          <w:spacing w:val="0"/>
          <w:sz w:val="44"/>
          <w:szCs w:val="44"/>
          <w:lang w:val="en-US" w:eastAsia="zh-CN"/>
        </w:rPr>
      </w:pPr>
      <w:r>
        <w:rPr>
          <w:rFonts w:hint="eastAsia" w:ascii="宋体" w:hAnsi="宋体" w:eastAsia="方正小标宋_GBK" w:cs="方正小标宋_GBK"/>
          <w:spacing w:val="0"/>
          <w:sz w:val="44"/>
          <w:szCs w:val="44"/>
          <w:lang w:val="en-US" w:eastAsia="zh-CN"/>
        </w:rPr>
        <w:t>云南省级绿证账户绿证分配方案（试行）</w:t>
      </w:r>
    </w:p>
    <w:p w14:paraId="3CA07923">
      <w:pPr>
        <w:numPr>
          <w:ilvl w:val="0"/>
          <w:numId w:val="0"/>
        </w:numPr>
        <w:spacing w:line="570" w:lineRule="exact"/>
        <w:jc w:val="center"/>
        <w:outlineLvl w:val="0"/>
        <w:rPr>
          <w:rFonts w:hint="eastAsia" w:ascii="宋体" w:hAnsi="宋体" w:eastAsia="方正楷体_GBK" w:cs="方正楷体_GBK"/>
          <w:spacing w:val="0"/>
          <w:sz w:val="32"/>
          <w:szCs w:val="32"/>
          <w:lang w:val="en-US" w:eastAsia="zh-CN"/>
        </w:rPr>
      </w:pPr>
      <w:r>
        <w:rPr>
          <w:rFonts w:hint="eastAsia" w:ascii="宋体" w:hAnsi="宋体" w:eastAsia="方正楷体_GBK" w:cs="方正楷体_GBK"/>
          <w:spacing w:val="0"/>
          <w:sz w:val="32"/>
          <w:szCs w:val="32"/>
          <w:lang w:val="en-US" w:eastAsia="zh-CN"/>
        </w:rPr>
        <w:t>（公开征求意见稿）</w:t>
      </w:r>
    </w:p>
    <w:p w14:paraId="59FF827D">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center"/>
        <w:textAlignment w:val="auto"/>
        <w:rPr>
          <w:rFonts w:hint="default" w:ascii="宋体" w:hAnsi="宋体" w:eastAsia="仿宋" w:cs="仿宋"/>
          <w:color w:val="auto"/>
          <w:spacing w:val="-7"/>
          <w:kern w:val="2"/>
          <w:sz w:val="21"/>
          <w:szCs w:val="21"/>
          <w:highlight w:val="none"/>
          <w:lang w:val="en-US" w:eastAsia="zh-CN" w:bidi="ar-SA"/>
        </w:rPr>
      </w:pPr>
    </w:p>
    <w:p w14:paraId="5CE88F83">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color w:val="auto"/>
          <w:spacing w:val="0"/>
          <w:kern w:val="2"/>
          <w:sz w:val="32"/>
          <w:szCs w:val="24"/>
          <w:highlight w:val="none"/>
          <w:lang w:val="en-US" w:eastAsia="zh-CN" w:bidi="ar-SA"/>
        </w:rPr>
      </w:pPr>
      <w:r>
        <w:rPr>
          <w:rFonts w:hint="eastAsia" w:ascii="宋体" w:hAnsi="宋体" w:eastAsia="方正仿宋_GBK" w:cs="方正仿宋_GBK"/>
          <w:color w:val="auto"/>
          <w:spacing w:val="0"/>
          <w:kern w:val="2"/>
          <w:sz w:val="32"/>
          <w:szCs w:val="24"/>
          <w:highlight w:val="none"/>
          <w:lang w:val="en-US" w:eastAsia="zh-CN" w:bidi="ar-SA"/>
        </w:rPr>
        <w:t>为充分发挥我省绿色电力资源优势，推动建立省级绿证账户绿证分配长效机制，更好满足绿色转型发展绿电消费需求，依据国家及省有关政策，按照“政策性分配与市场化分配相结合”原则，制定本方案。</w:t>
      </w:r>
    </w:p>
    <w:p w14:paraId="70EEBA0E">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outlineLvl w:val="0"/>
        <w:rPr>
          <w:rFonts w:hint="eastAsia" w:ascii="宋体" w:hAnsi="宋体" w:eastAsia="方正黑体_GBK" w:cs="方正黑体_GBK"/>
          <w:b w:val="0"/>
          <w:bCs w:val="0"/>
          <w:color w:val="auto"/>
          <w:spacing w:val="0"/>
          <w:kern w:val="2"/>
          <w:sz w:val="32"/>
          <w:szCs w:val="24"/>
          <w:highlight w:val="none"/>
          <w:lang w:val="en-US" w:eastAsia="zh-CN" w:bidi="ar-SA"/>
        </w:rPr>
      </w:pPr>
      <w:r>
        <w:rPr>
          <w:rFonts w:hint="eastAsia" w:ascii="宋体" w:hAnsi="宋体" w:eastAsia="方正黑体_GBK" w:cs="方正黑体_GBK"/>
          <w:b w:val="0"/>
          <w:bCs w:val="0"/>
          <w:color w:val="auto"/>
          <w:spacing w:val="0"/>
          <w:kern w:val="2"/>
          <w:sz w:val="32"/>
          <w:szCs w:val="24"/>
          <w:highlight w:val="none"/>
          <w:lang w:val="en-US" w:eastAsia="zh-CN" w:bidi="ar-SA"/>
        </w:rPr>
        <w:t>一、省级绿证账户可分配绿证范围</w:t>
      </w:r>
    </w:p>
    <w:p w14:paraId="16D03F61">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spacing w:val="0"/>
          <w:sz w:val="32"/>
          <w:szCs w:val="32"/>
          <w:lang w:val="en-US" w:eastAsia="zh-CN"/>
        </w:rPr>
      </w:pPr>
      <w:r>
        <w:rPr>
          <w:rFonts w:hint="eastAsia" w:ascii="宋体" w:hAnsi="宋体" w:eastAsia="方正仿宋_GBK" w:cs="方正仿宋_GBK"/>
          <w:color w:val="auto"/>
          <w:spacing w:val="0"/>
          <w:kern w:val="2"/>
          <w:sz w:val="32"/>
          <w:szCs w:val="24"/>
          <w:highlight w:val="none"/>
          <w:lang w:val="en-US" w:eastAsia="zh-CN" w:bidi="ar-SA"/>
        </w:rPr>
        <w:t>省级绿证账户可分配绿证包括</w:t>
      </w:r>
      <w:r>
        <w:rPr>
          <w:rFonts w:hint="eastAsia" w:ascii="宋体" w:hAnsi="宋体" w:eastAsia="方正仿宋_GBK" w:cs="方正仿宋_GBK"/>
          <w:spacing w:val="0"/>
          <w:sz w:val="32"/>
          <w:szCs w:val="32"/>
          <w:lang w:val="en-US" w:eastAsia="zh-CN"/>
        </w:rPr>
        <w:t>纳入云南省新能源可持续发展价格结算机制电量对应的绿证（以下简称“机制电量绿证”）、《云南省存量常规水电绿证划转方案（试行）》明确划转至省级绿证账户的存量常规水电绿证以及其他无偿划转至省级绿证账户的绿证。</w:t>
      </w:r>
    </w:p>
    <w:p w14:paraId="1E65C337">
      <w:pPr>
        <w:pStyle w:val="5"/>
        <w:numPr>
          <w:ilvl w:val="0"/>
          <w:numId w:val="0"/>
        </w:numPr>
        <w:spacing w:after="0" w:line="570" w:lineRule="exact"/>
        <w:ind w:firstLine="640" w:firstLineChars="200"/>
        <w:outlineLvl w:val="0"/>
        <w:rPr>
          <w:rFonts w:hint="eastAsia" w:ascii="宋体" w:hAnsi="宋体" w:eastAsia="黑体" w:cs="Times New Roman"/>
          <w:b w:val="0"/>
          <w:color w:val="auto"/>
          <w:spacing w:val="0"/>
          <w:sz w:val="32"/>
          <w:szCs w:val="32"/>
          <w:highlight w:val="none"/>
          <w:lang w:val="en-US" w:eastAsia="zh-CN"/>
        </w:rPr>
      </w:pPr>
      <w:r>
        <w:rPr>
          <w:rFonts w:hint="eastAsia" w:ascii="宋体" w:hAnsi="宋体" w:eastAsia="方正黑体_GBK" w:cs="方正黑体_GBK"/>
          <w:b w:val="0"/>
          <w:color w:val="auto"/>
          <w:spacing w:val="0"/>
          <w:sz w:val="32"/>
          <w:szCs w:val="32"/>
          <w:highlight w:val="none"/>
          <w:lang w:val="en-US" w:eastAsia="zh-CN"/>
        </w:rPr>
        <w:t>二、省级绿证账户绿证分配方式</w:t>
      </w:r>
    </w:p>
    <w:p w14:paraId="19D3854C">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eastAsia" w:ascii="宋体" w:hAnsi="宋体" w:eastAsia="方正仿宋_GBK" w:cs="方正仿宋_GBK"/>
          <w:color w:val="auto"/>
          <w:spacing w:val="0"/>
          <w:sz w:val="32"/>
          <w:szCs w:val="32"/>
          <w:highlight w:val="none"/>
          <w:lang w:val="en-US" w:eastAsia="zh-CN"/>
        </w:rPr>
      </w:pPr>
      <w:r>
        <w:rPr>
          <w:rFonts w:hint="eastAsia" w:ascii="宋体" w:hAnsi="宋体" w:eastAsia="仿宋" w:cs="仿宋"/>
          <w:color w:val="auto"/>
          <w:spacing w:val="0"/>
          <w:sz w:val="32"/>
          <w:szCs w:val="32"/>
          <w:highlight w:val="none"/>
          <w:lang w:val="en-US" w:eastAsia="zh-CN"/>
        </w:rPr>
        <w:t>云南省级绿证账户绿证分配方式包括政策性分配和市场化分配两种方式，具体分配时先进行政策性分配，政策性分配后若有剩余再组织市场化分配。</w:t>
      </w:r>
    </w:p>
    <w:p w14:paraId="4B8B2B04">
      <w:pPr>
        <w:pStyle w:val="5"/>
        <w:numPr>
          <w:ilvl w:val="0"/>
          <w:numId w:val="0"/>
        </w:numPr>
        <w:spacing w:after="0" w:line="570" w:lineRule="exact"/>
        <w:ind w:firstLine="640" w:firstLineChars="200"/>
        <w:outlineLvl w:val="0"/>
        <w:rPr>
          <w:rFonts w:hint="eastAsia" w:ascii="宋体" w:hAnsi="宋体" w:eastAsia="方正黑体_GBK" w:cs="方正黑体_GBK"/>
          <w:b w:val="0"/>
          <w:color w:val="auto"/>
          <w:spacing w:val="0"/>
          <w:sz w:val="32"/>
          <w:szCs w:val="32"/>
          <w:highlight w:val="none"/>
          <w:lang w:val="en-US" w:eastAsia="zh-CN"/>
        </w:rPr>
      </w:pPr>
      <w:r>
        <w:rPr>
          <w:rFonts w:hint="eastAsia" w:ascii="宋体" w:hAnsi="宋体" w:eastAsia="方正黑体_GBK" w:cs="方正黑体_GBK"/>
          <w:b w:val="0"/>
          <w:color w:val="auto"/>
          <w:spacing w:val="0"/>
          <w:sz w:val="32"/>
          <w:szCs w:val="32"/>
          <w:highlight w:val="none"/>
          <w:lang w:val="en-US" w:eastAsia="zh-CN"/>
        </w:rPr>
        <w:t>三、政策性分配</w:t>
      </w:r>
    </w:p>
    <w:p w14:paraId="616FD788">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eastAsia" w:ascii="宋体" w:hAnsi="宋体" w:eastAsia="仿宋" w:cs="仿宋"/>
          <w:color w:val="auto"/>
          <w:spacing w:val="0"/>
          <w:sz w:val="32"/>
          <w:szCs w:val="32"/>
          <w:highlight w:val="none"/>
          <w:u w:val="none"/>
          <w:lang w:val="en-US" w:eastAsia="zh-CN"/>
        </w:rPr>
      </w:pPr>
      <w:r>
        <w:rPr>
          <w:rFonts w:hint="eastAsia" w:ascii="宋体" w:hAnsi="宋体" w:eastAsia="仿宋" w:cs="仿宋"/>
          <w:color w:val="auto"/>
          <w:spacing w:val="0"/>
          <w:sz w:val="32"/>
          <w:szCs w:val="32"/>
          <w:highlight w:val="none"/>
          <w:u w:val="none"/>
          <w:lang w:val="en-US" w:eastAsia="zh-CN"/>
        </w:rPr>
        <w:t>云南省级绿证账户绿证政策性分配第一阶段先分配申请的机制电量绿证，第二阶段再分配其他绿证（含未申请的机制电量绿证、</w:t>
      </w:r>
      <w:r>
        <w:rPr>
          <w:rFonts w:hint="eastAsia" w:ascii="宋体" w:hAnsi="宋体" w:eastAsia="方正仿宋_GBK" w:cs="方正仿宋_GBK"/>
          <w:spacing w:val="0"/>
          <w:sz w:val="32"/>
          <w:szCs w:val="32"/>
          <w:u w:val="none"/>
          <w:lang w:val="en-US" w:eastAsia="zh-CN"/>
        </w:rPr>
        <w:t>存量常规水电绿证以及其他无偿划转至省级绿证账户的绿证</w:t>
      </w:r>
      <w:r>
        <w:rPr>
          <w:rFonts w:hint="eastAsia" w:ascii="宋体" w:hAnsi="宋体" w:eastAsia="仿宋" w:cs="仿宋"/>
          <w:color w:val="auto"/>
          <w:spacing w:val="0"/>
          <w:sz w:val="32"/>
          <w:szCs w:val="32"/>
          <w:highlight w:val="none"/>
          <w:u w:val="none"/>
          <w:lang w:val="en-US" w:eastAsia="zh-CN"/>
        </w:rPr>
        <w:t>）。</w:t>
      </w:r>
    </w:p>
    <w:p w14:paraId="6A6E95D3">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eastAsia" w:ascii="宋体" w:hAnsi="宋体" w:eastAsia="方正仿宋_GBK" w:cs="方正仿宋_GBK"/>
          <w:color w:val="auto"/>
          <w:spacing w:val="0"/>
          <w:sz w:val="32"/>
          <w:szCs w:val="32"/>
          <w:highlight w:val="yellow"/>
          <w:lang w:val="en-US" w:eastAsia="zh-CN"/>
        </w:rPr>
      </w:pPr>
      <w:r>
        <w:rPr>
          <w:rFonts w:hint="eastAsia" w:ascii="宋体" w:hAnsi="宋体" w:eastAsia="方正仿宋_GBK" w:cs="方正仿宋_GBK"/>
          <w:color w:val="auto"/>
          <w:spacing w:val="0"/>
          <w:sz w:val="32"/>
          <w:szCs w:val="32"/>
          <w:highlight w:val="none"/>
          <w:lang w:val="en-US" w:eastAsia="zh-CN"/>
        </w:rPr>
        <w:t>其中，机制电量绿证分配旨在落实新能源上网电价市场化改革要求，将新能源发电企业纳入机制电量对应的绿证公平、有序的划转至实际承担结算费用的市场化电力用户；</w:t>
      </w:r>
      <w:r>
        <w:rPr>
          <w:rFonts w:hint="eastAsia" w:ascii="宋体" w:hAnsi="宋体" w:eastAsia="方正仿宋_GBK" w:cs="方正仿宋_GBK"/>
          <w:spacing w:val="0"/>
          <w:sz w:val="32"/>
          <w:szCs w:val="32"/>
          <w:lang w:val="en-US" w:eastAsia="zh-CN"/>
        </w:rPr>
        <w:t>其他绿证</w:t>
      </w:r>
      <w:r>
        <w:rPr>
          <w:rFonts w:hint="eastAsia" w:ascii="宋体" w:hAnsi="宋体" w:eastAsia="方正仿宋_GBK" w:cs="方正仿宋_GBK"/>
          <w:color w:val="auto"/>
          <w:spacing w:val="0"/>
          <w:sz w:val="32"/>
          <w:szCs w:val="32"/>
          <w:highlight w:val="none"/>
          <w:lang w:val="en-US" w:eastAsia="zh-CN"/>
        </w:rPr>
        <w:t>分配旨在发挥政府宏观调控作用，</w:t>
      </w:r>
      <w:r>
        <w:rPr>
          <w:rFonts w:hint="eastAsia" w:ascii="宋体" w:hAnsi="宋体" w:eastAsia="方正仿宋_GBK" w:cs="方正仿宋_GBK"/>
          <w:color w:val="auto"/>
          <w:spacing w:val="0"/>
          <w:sz w:val="32"/>
          <w:szCs w:val="32"/>
          <w:highlight w:val="none"/>
          <w:u w:val="none"/>
          <w:lang w:val="en-US" w:eastAsia="zh-CN"/>
        </w:rPr>
        <w:t>统筹精准支持重</w:t>
      </w:r>
      <w:r>
        <w:rPr>
          <w:rFonts w:hint="eastAsia" w:ascii="宋体" w:hAnsi="宋体" w:eastAsia="方正仿宋_GBK" w:cs="方正仿宋_GBK"/>
          <w:color w:val="auto"/>
          <w:spacing w:val="0"/>
          <w:sz w:val="32"/>
          <w:szCs w:val="32"/>
          <w:highlight w:val="none"/>
          <w:lang w:val="en-US" w:eastAsia="zh-CN"/>
        </w:rPr>
        <w:t>点行业企业绿色电力消费比例要求，以及促进我省重点产业绿色低碳发展。</w:t>
      </w:r>
    </w:p>
    <w:p w14:paraId="49A4144E">
      <w:pPr>
        <w:pStyle w:val="5"/>
        <w:numPr>
          <w:ilvl w:val="0"/>
          <w:numId w:val="0"/>
        </w:numPr>
        <w:spacing w:after="0" w:line="570" w:lineRule="exact"/>
        <w:ind w:firstLine="640" w:firstLineChars="200"/>
        <w:outlineLvl w:val="0"/>
        <w:rPr>
          <w:rFonts w:hint="default" w:ascii="宋体" w:hAnsi="宋体" w:eastAsia="黑体" w:cs="Times New Roman"/>
          <w:b w:val="0"/>
          <w:color w:val="auto"/>
          <w:spacing w:val="0"/>
          <w:sz w:val="32"/>
          <w:szCs w:val="32"/>
          <w:highlight w:val="none"/>
          <w:lang w:val="en-US" w:eastAsia="zh-CN"/>
        </w:rPr>
      </w:pPr>
      <w:r>
        <w:rPr>
          <w:rFonts w:hint="eastAsia" w:ascii="宋体" w:hAnsi="宋体" w:eastAsia="方正楷体_GBK" w:cs="方正楷体_GBK"/>
          <w:b w:val="0"/>
          <w:color w:val="auto"/>
          <w:spacing w:val="0"/>
          <w:sz w:val="32"/>
          <w:szCs w:val="32"/>
          <w:highlight w:val="none"/>
          <w:lang w:val="en-US" w:eastAsia="zh-CN"/>
        </w:rPr>
        <w:t>（一）第一阶段——申请的机制电量绿证分配</w:t>
      </w:r>
    </w:p>
    <w:p w14:paraId="0A588016">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eastAsia" w:ascii="宋体" w:hAnsi="宋体" w:eastAsia="方正仿宋_GBK" w:cs="方正仿宋_GBK"/>
          <w:color w:val="auto"/>
          <w:spacing w:val="0"/>
          <w:sz w:val="32"/>
          <w:szCs w:val="32"/>
          <w:highlight w:val="none"/>
          <w:lang w:val="en-US" w:eastAsia="zh-CN"/>
        </w:rPr>
      </w:pPr>
      <w:r>
        <w:rPr>
          <w:rFonts w:hint="eastAsia" w:ascii="宋体" w:hAnsi="宋体" w:eastAsia="方正仿宋_GBK" w:cs="方正仿宋_GBK"/>
          <w:color w:val="auto"/>
          <w:spacing w:val="0"/>
          <w:sz w:val="32"/>
          <w:szCs w:val="32"/>
          <w:highlight w:val="none"/>
          <w:lang w:val="en-US" w:eastAsia="zh-CN"/>
        </w:rPr>
        <w:t>根据各月市场化电力用户分摊机制电量结算费用占全部机制电量结算费用的比例，与对应月度新能源机制电量核发绿证总数的乘积，计算得到各市场化电力用户可分配的机制电量绿证数量并发布。电网企业代理购电用户可分配的机制电量绿证统一纳入第二阶段其他绿证分配环节进行分配。其他市场化电力用户若有机制电量绿证划转需求，需在规定时限内提交绿证划转申请，划转数量为其计算得到的对应月度可分配机制电量绿证数量。</w:t>
      </w:r>
    </w:p>
    <w:p w14:paraId="4095B289">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eastAsia" w:ascii="宋体" w:hAnsi="宋体" w:eastAsia="方正仿宋_GBK" w:cs="方正仿宋_GBK"/>
          <w:color w:val="auto"/>
          <w:spacing w:val="0"/>
          <w:sz w:val="32"/>
          <w:szCs w:val="32"/>
          <w:highlight w:val="none"/>
          <w:lang w:val="en-US" w:eastAsia="zh-CN"/>
        </w:rPr>
      </w:pPr>
      <w:r>
        <w:rPr>
          <w:rFonts w:hint="eastAsia" w:ascii="宋体" w:hAnsi="宋体" w:eastAsia="方正仿宋_GBK" w:cs="方正仿宋_GBK"/>
          <w:color w:val="auto"/>
          <w:spacing w:val="0"/>
          <w:sz w:val="32"/>
          <w:szCs w:val="32"/>
          <w:highlight w:val="none"/>
          <w:lang w:val="en-US" w:eastAsia="zh-CN"/>
        </w:rPr>
        <w:t>提出机制电量绿证划转申请的市场化电力用户，需将相应数量的绿证与其匹配后进行绿证划转，匹配方式为：将提出申请的市场化电力用户按分配机制电量绿证数量由大到小排序，并将新能源发电项目按机制电量核发绿证数量由大到小排序，然后以匹配该部分市场化电力用户分配机制电量绿证数量为目标，按照该部分市场化电力用户排序依次与排序后的新能源发电项目机制电量核发绿证进行匹配，直至排在最后一位的市场化电力用户匹配完成，形成发用双方绿证核发数量以及对应关系的划转依据，支撑后续绿证划转。若匹配完成后仍有剩余的新能源发电项目机制电量核发绿证，则纳入第二阶段其他绿证分配环节进行分配。</w:t>
      </w:r>
    </w:p>
    <w:p w14:paraId="5AA2993F">
      <w:pPr>
        <w:pStyle w:val="5"/>
        <w:keepNext w:val="0"/>
        <w:keepLines w:val="0"/>
        <w:pageBreakBefore w:val="0"/>
        <w:widowControl/>
        <w:numPr>
          <w:ilvl w:val="0"/>
          <w:numId w:val="1"/>
        </w:numPr>
        <w:kinsoku/>
        <w:wordWrap/>
        <w:overflowPunct/>
        <w:topLinePunct w:val="0"/>
        <w:autoSpaceDE/>
        <w:autoSpaceDN/>
        <w:bidi w:val="0"/>
        <w:adjustRightInd/>
        <w:snapToGrid/>
        <w:spacing w:after="0" w:line="570" w:lineRule="exact"/>
        <w:ind w:firstLine="640" w:firstLineChars="200"/>
        <w:textAlignment w:val="auto"/>
        <w:outlineLvl w:val="0"/>
        <w:rPr>
          <w:rFonts w:hint="eastAsia" w:ascii="宋体" w:hAnsi="宋体" w:eastAsia="方正楷体_GBK" w:cs="方正楷体_GBK"/>
          <w:color w:val="auto"/>
          <w:spacing w:val="0"/>
          <w:sz w:val="32"/>
          <w:szCs w:val="32"/>
          <w:highlight w:val="none"/>
        </w:rPr>
      </w:pPr>
      <w:r>
        <w:rPr>
          <w:rFonts w:hint="eastAsia" w:ascii="宋体" w:hAnsi="宋体" w:eastAsia="方正楷体_GBK" w:cs="方正楷体_GBK"/>
          <w:b w:val="0"/>
          <w:color w:val="auto"/>
          <w:spacing w:val="0"/>
          <w:sz w:val="32"/>
          <w:szCs w:val="32"/>
          <w:highlight w:val="none"/>
          <w:lang w:val="en-US" w:eastAsia="zh-CN"/>
        </w:rPr>
        <w:t>第二阶段——</w:t>
      </w:r>
      <w:r>
        <w:rPr>
          <w:rFonts w:hint="eastAsia" w:ascii="宋体" w:hAnsi="宋体" w:eastAsia="方正楷体_GBK" w:cs="方正楷体_GBK"/>
          <w:color w:val="auto"/>
          <w:spacing w:val="0"/>
          <w:sz w:val="32"/>
          <w:szCs w:val="32"/>
          <w:highlight w:val="none"/>
          <w:lang w:eastAsia="zh-CN"/>
        </w:rPr>
        <w:t>其他绿证分配</w:t>
      </w:r>
    </w:p>
    <w:p w14:paraId="7117ACC6">
      <w:pPr>
        <w:pStyle w:val="5"/>
        <w:numPr>
          <w:ilvl w:val="0"/>
          <w:numId w:val="0"/>
        </w:numPr>
        <w:spacing w:after="0" w:line="570" w:lineRule="exact"/>
        <w:ind w:firstLine="643" w:firstLineChars="200"/>
        <w:outlineLvl w:val="0"/>
        <w:rPr>
          <w:rFonts w:hint="eastAsia" w:ascii="宋体" w:hAnsi="宋体" w:eastAsia="方正仿宋_GBK" w:cs="方正仿宋_GBK"/>
          <w:b w:val="0"/>
          <w:bCs w:val="0"/>
          <w:color w:val="auto"/>
          <w:spacing w:val="0"/>
          <w:sz w:val="32"/>
          <w:szCs w:val="32"/>
          <w:highlight w:val="none"/>
          <w:lang w:val="en-US" w:eastAsia="zh-CN"/>
        </w:rPr>
      </w:pPr>
      <w:r>
        <w:rPr>
          <w:rFonts w:hint="eastAsia" w:ascii="宋体" w:hAnsi="宋体" w:eastAsia="方正仿宋_GBK" w:cs="方正仿宋_GBK"/>
          <w:b/>
          <w:bCs/>
          <w:color w:val="auto"/>
          <w:spacing w:val="0"/>
          <w:sz w:val="32"/>
          <w:szCs w:val="32"/>
          <w:highlight w:val="none"/>
          <w:lang w:val="en-US" w:eastAsia="zh-CN"/>
        </w:rPr>
        <w:t>1.分配序位</w:t>
      </w:r>
    </w:p>
    <w:p w14:paraId="53B7DAAC">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color w:val="auto"/>
          <w:spacing w:val="0"/>
          <w:kern w:val="2"/>
          <w:sz w:val="32"/>
          <w:szCs w:val="24"/>
          <w:highlight w:val="none"/>
          <w:lang w:val="en-US" w:eastAsia="zh-CN" w:bidi="ar-SA"/>
        </w:rPr>
      </w:pPr>
      <w:r>
        <w:rPr>
          <w:rFonts w:hint="eastAsia" w:ascii="宋体" w:hAnsi="宋体" w:eastAsia="方正仿宋_GBK" w:cs="方正仿宋_GBK"/>
          <w:color w:val="auto"/>
          <w:spacing w:val="0"/>
          <w:kern w:val="2"/>
          <w:sz w:val="32"/>
          <w:szCs w:val="24"/>
          <w:highlight w:val="none"/>
          <w:lang w:val="en-US" w:eastAsia="zh-CN" w:bidi="ar-SA"/>
        </w:rPr>
        <w:t>根据国家可再生能源消纳权重和绿色电力消费比例要求，结合云南省产业发展导向与省级绿证账户可供分配的绿证数量，按以下两个优先等级序位依次进行分配。</w:t>
      </w:r>
    </w:p>
    <w:p w14:paraId="73B15C68">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color w:val="auto"/>
          <w:spacing w:val="0"/>
          <w:kern w:val="2"/>
          <w:sz w:val="32"/>
          <w:szCs w:val="24"/>
          <w:highlight w:val="none"/>
          <w:lang w:val="en-US" w:eastAsia="zh-CN" w:bidi="ar-SA"/>
        </w:rPr>
      </w:pPr>
      <w:r>
        <w:rPr>
          <w:rFonts w:hint="eastAsia" w:ascii="宋体" w:hAnsi="宋体" w:eastAsia="方正仿宋_GBK" w:cs="方正仿宋_GBK"/>
          <w:color w:val="auto"/>
          <w:spacing w:val="0"/>
          <w:kern w:val="2"/>
          <w:sz w:val="32"/>
          <w:szCs w:val="24"/>
          <w:highlight w:val="none"/>
          <w:lang w:val="en-US" w:eastAsia="zh-CN" w:bidi="ar-SA"/>
        </w:rPr>
        <w:t>第一序位：国家下达的进行绿色电力消费比例目标考核的云南省重点用能行业企业。</w:t>
      </w:r>
    </w:p>
    <w:p w14:paraId="5A4884C9">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color w:val="auto"/>
          <w:spacing w:val="0"/>
          <w:kern w:val="2"/>
          <w:sz w:val="32"/>
          <w:szCs w:val="24"/>
          <w:highlight w:val="none"/>
          <w:lang w:val="en-US" w:eastAsia="zh-CN" w:bidi="ar-SA"/>
        </w:rPr>
      </w:pPr>
      <w:r>
        <w:rPr>
          <w:rFonts w:hint="eastAsia" w:ascii="宋体" w:hAnsi="宋体" w:eastAsia="方正仿宋_GBK" w:cs="方正仿宋_GBK"/>
          <w:b w:val="0"/>
          <w:bCs w:val="0"/>
          <w:color w:val="auto"/>
          <w:spacing w:val="0"/>
          <w:kern w:val="2"/>
          <w:sz w:val="32"/>
          <w:szCs w:val="24"/>
          <w:highlight w:val="none"/>
          <w:lang w:val="en-US" w:eastAsia="zh-CN" w:bidi="ar-SA"/>
        </w:rPr>
        <w:t>第二序位：其他省内重点行业、企业（包括新能源电池、有色稀贵金属、磷化工、智算中心、绿氢等重点产业项目，零碳园区内企业以及面临国际碳壁垒的出口型企业等）。具体企业名录、企业所属支持类别，各支持类别保障比例目标由云南省能源局会同相关部门共同研究确定</w:t>
      </w:r>
      <w:r>
        <w:rPr>
          <w:rFonts w:hint="eastAsia" w:ascii="宋体" w:hAnsi="宋体" w:eastAsia="方正仿宋_GBK" w:cs="方正仿宋_GBK"/>
          <w:color w:val="auto"/>
          <w:spacing w:val="0"/>
          <w:kern w:val="2"/>
          <w:sz w:val="32"/>
          <w:szCs w:val="24"/>
          <w:highlight w:val="none"/>
          <w:lang w:val="en-US" w:eastAsia="zh-CN" w:bidi="ar-SA"/>
        </w:rPr>
        <w:t>。</w:t>
      </w:r>
    </w:p>
    <w:p w14:paraId="0ED3CBA2">
      <w:pPr>
        <w:spacing w:line="570" w:lineRule="exact"/>
        <w:ind w:firstLine="643" w:firstLineChars="200"/>
        <w:outlineLvl w:val="1"/>
        <w:rPr>
          <w:rFonts w:hint="default" w:ascii="宋体" w:hAnsi="宋体" w:eastAsia="方正楷体_GBK" w:cs="Times New Roman"/>
          <w:spacing w:val="0"/>
          <w:sz w:val="32"/>
          <w:szCs w:val="32"/>
          <w:lang w:val="en-US" w:eastAsia="zh-CN"/>
        </w:rPr>
      </w:pPr>
      <w:r>
        <w:rPr>
          <w:rFonts w:hint="eastAsia" w:ascii="宋体" w:hAnsi="宋体" w:eastAsia="方正仿宋_GBK" w:cs="方正仿宋_GBK"/>
          <w:b/>
          <w:bCs/>
          <w:spacing w:val="0"/>
          <w:sz w:val="32"/>
          <w:szCs w:val="32"/>
          <w:lang w:val="en-US" w:eastAsia="zh-CN"/>
        </w:rPr>
        <w:t>2.设立绿色电力消费责任基准线</w:t>
      </w:r>
    </w:p>
    <w:p w14:paraId="5CC3261E">
      <w:pPr>
        <w:spacing w:line="570" w:lineRule="exact"/>
        <w:ind w:firstLine="640" w:firstLineChars="200"/>
        <w:rPr>
          <w:rFonts w:hint="eastAsia" w:ascii="宋体" w:hAnsi="宋体" w:eastAsia="方正仿宋_GBK" w:cs="方正仿宋_GBK"/>
          <w:spacing w:val="0"/>
          <w:sz w:val="32"/>
          <w:szCs w:val="32"/>
          <w:lang w:val="en-US" w:eastAsia="zh-CN"/>
        </w:rPr>
      </w:pPr>
      <w:r>
        <w:rPr>
          <w:rFonts w:hint="eastAsia" w:ascii="宋体" w:hAnsi="宋体" w:eastAsia="方正仿宋_GBK" w:cs="方正仿宋_GBK"/>
          <w:spacing w:val="0"/>
          <w:sz w:val="32"/>
          <w:szCs w:val="32"/>
          <w:lang w:val="en-US" w:eastAsia="zh-CN"/>
        </w:rPr>
        <w:t>为引导企业积极履行绿色电力消费责任，设立“绿色电力消费责任基准线”（以下简称“基准线”），作为企业参与第二阶段分配的前置条件，未达到基准线的企业不得参与分配。以第一序位、第二序位内所有企业（以下简称“所有保障企业”）的平均自主绿电消费水平为依据设定基准线。云南省能源局可结合当年省级绿证账户绿证使用情况及企业绿电消费进展，会同省内相关部门动态调整基准线。2025年及之前的绿证分配不执行基准线要求。</w:t>
      </w:r>
    </w:p>
    <w:p w14:paraId="7F5125F1">
      <w:pPr>
        <w:pStyle w:val="5"/>
        <w:spacing w:after="0" w:line="570" w:lineRule="exact"/>
        <w:ind w:firstLine="643" w:firstLineChars="200"/>
        <w:outlineLvl w:val="1"/>
        <w:rPr>
          <w:rFonts w:hint="default" w:ascii="宋体" w:hAnsi="宋体" w:eastAsia="方正仿宋_GBK" w:cs="方正仿宋_GBK"/>
          <w:b/>
          <w:bCs/>
          <w:spacing w:val="0"/>
          <w:kern w:val="2"/>
          <w:sz w:val="32"/>
          <w:szCs w:val="32"/>
          <w:lang w:val="en-US" w:eastAsia="zh-CN" w:bidi="ar-SA"/>
        </w:rPr>
      </w:pPr>
      <w:r>
        <w:rPr>
          <w:rFonts w:hint="default" w:ascii="宋体" w:hAnsi="宋体" w:eastAsia="方正仿宋_GBK" w:cs="方正仿宋_GBK"/>
          <w:b/>
          <w:bCs/>
          <w:spacing w:val="0"/>
          <w:kern w:val="2"/>
          <w:sz w:val="32"/>
          <w:szCs w:val="32"/>
          <w:lang w:val="en-US" w:eastAsia="zh-CN" w:bidi="ar-SA"/>
        </w:rPr>
        <w:t>3.分配机制</w:t>
      </w:r>
    </w:p>
    <w:p w14:paraId="408650AA">
      <w:pPr>
        <w:pStyle w:val="5"/>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color w:val="auto"/>
          <w:spacing w:val="0"/>
          <w:kern w:val="2"/>
          <w:sz w:val="32"/>
          <w:szCs w:val="24"/>
          <w:highlight w:val="none"/>
          <w:lang w:val="en-US" w:eastAsia="zh-CN" w:bidi="ar-SA"/>
        </w:rPr>
      </w:pPr>
      <w:r>
        <w:rPr>
          <w:rFonts w:hint="eastAsia" w:ascii="宋体" w:hAnsi="宋体" w:eastAsia="方正仿宋_GBK" w:cs="方正仿宋_GBK"/>
          <w:color w:val="auto"/>
          <w:spacing w:val="0"/>
          <w:kern w:val="2"/>
          <w:sz w:val="32"/>
          <w:szCs w:val="24"/>
          <w:highlight w:val="none"/>
          <w:lang w:val="en-US" w:eastAsia="zh-CN" w:bidi="ar-SA"/>
        </w:rPr>
        <w:t>激励省内企业提高自主绿电消费水平，建立</w:t>
      </w:r>
      <w:r>
        <w:rPr>
          <w:rFonts w:hint="eastAsia" w:ascii="宋体" w:hAnsi="宋体" w:eastAsia="方正仿宋_GBK" w:cs="方正仿宋_GBK"/>
          <w:b w:val="0"/>
          <w:bCs w:val="0"/>
          <w:color w:val="auto"/>
          <w:spacing w:val="0"/>
          <w:kern w:val="2"/>
          <w:sz w:val="32"/>
          <w:szCs w:val="24"/>
          <w:highlight w:val="none"/>
          <w:lang w:val="en-US" w:eastAsia="zh-CN" w:bidi="ar-SA"/>
        </w:rPr>
        <w:t>“保障分配+激励分配”机制。</w:t>
      </w:r>
    </w:p>
    <w:p w14:paraId="4B9EF023">
      <w:pPr>
        <w:pStyle w:val="5"/>
        <w:keepNext w:val="0"/>
        <w:keepLines w:val="0"/>
        <w:pageBreakBefore w:val="0"/>
        <w:widowControl w:val="0"/>
        <w:kinsoku/>
        <w:wordWrap/>
        <w:overflowPunct/>
        <w:topLinePunct w:val="0"/>
        <w:autoSpaceDE/>
        <w:autoSpaceDN/>
        <w:bidi w:val="0"/>
        <w:adjustRightInd/>
        <w:snapToGrid/>
        <w:spacing w:after="0" w:line="570" w:lineRule="exact"/>
        <w:ind w:firstLine="643" w:firstLineChars="200"/>
        <w:textAlignment w:val="auto"/>
        <w:outlineLvl w:val="2"/>
        <w:rPr>
          <w:rFonts w:hint="default" w:ascii="宋体" w:hAnsi="宋体" w:eastAsia="方正仿宋_GBK" w:cs="Times New Roman"/>
          <w:b/>
          <w:bCs/>
          <w:color w:val="auto"/>
          <w:spacing w:val="0"/>
          <w:sz w:val="32"/>
          <w:szCs w:val="32"/>
          <w:highlight w:val="none"/>
          <w:lang w:val="en-US" w:eastAsia="zh-CN"/>
        </w:rPr>
      </w:pPr>
      <w:r>
        <w:rPr>
          <w:rFonts w:hint="eastAsia" w:ascii="宋体" w:hAnsi="宋体" w:eastAsia="方正仿宋_GBK" w:cs="Times New Roman"/>
          <w:b/>
          <w:bCs/>
          <w:color w:val="auto"/>
          <w:spacing w:val="0"/>
          <w:sz w:val="32"/>
          <w:szCs w:val="32"/>
          <w:highlight w:val="none"/>
          <w:lang w:val="en-US" w:eastAsia="zh-CN"/>
        </w:rPr>
        <w:t>（1）</w:t>
      </w:r>
      <w:r>
        <w:rPr>
          <w:rFonts w:hint="default" w:ascii="宋体" w:hAnsi="宋体" w:eastAsia="方正仿宋_GBK" w:cs="Times New Roman"/>
          <w:b/>
          <w:bCs/>
          <w:color w:val="auto"/>
          <w:spacing w:val="0"/>
          <w:sz w:val="32"/>
          <w:szCs w:val="32"/>
          <w:highlight w:val="none"/>
          <w:lang w:val="en-US" w:eastAsia="zh-CN"/>
        </w:rPr>
        <w:t>保障</w:t>
      </w:r>
      <w:r>
        <w:rPr>
          <w:rFonts w:hint="eastAsia" w:ascii="宋体" w:hAnsi="宋体" w:eastAsia="方正仿宋_GBK" w:cs="Times New Roman"/>
          <w:b/>
          <w:bCs/>
          <w:color w:val="auto"/>
          <w:spacing w:val="0"/>
          <w:sz w:val="32"/>
          <w:szCs w:val="32"/>
          <w:highlight w:val="none"/>
          <w:lang w:val="en-US" w:eastAsia="zh-CN"/>
        </w:rPr>
        <w:t>分配</w:t>
      </w:r>
    </w:p>
    <w:p w14:paraId="54D094A9">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保障分配</w:t>
      </w:r>
      <w:r>
        <w:rPr>
          <w:rFonts w:hint="default" w:ascii="宋体" w:hAnsi="宋体" w:eastAsia="方正仿宋_GBK" w:cs="Times New Roman"/>
          <w:color w:val="auto"/>
          <w:spacing w:val="0"/>
          <w:kern w:val="2"/>
          <w:sz w:val="32"/>
          <w:szCs w:val="24"/>
          <w:highlight w:val="none"/>
          <w:lang w:val="en-US" w:eastAsia="zh-CN" w:bidi="ar-SA"/>
        </w:rPr>
        <w:t>旨在帮助未达到国家下达</w:t>
      </w:r>
      <w:r>
        <w:rPr>
          <w:rFonts w:hint="default" w:ascii="宋体" w:hAnsi="宋体" w:eastAsia="方正仿宋_GBK" w:cs="Times New Roman"/>
          <w:b w:val="0"/>
          <w:bCs w:val="0"/>
          <w:color w:val="auto"/>
          <w:spacing w:val="0"/>
          <w:kern w:val="2"/>
          <w:sz w:val="32"/>
          <w:szCs w:val="24"/>
          <w:highlight w:val="none"/>
          <w:lang w:val="en-US" w:eastAsia="zh-CN" w:bidi="ar-SA"/>
        </w:rPr>
        <w:t>或省级能源主管部门确定的</w:t>
      </w:r>
      <w:r>
        <w:rPr>
          <w:rFonts w:hint="default" w:ascii="宋体" w:hAnsi="宋体" w:eastAsia="方正仿宋_GBK" w:cs="Times New Roman"/>
          <w:color w:val="auto"/>
          <w:spacing w:val="0"/>
          <w:kern w:val="2"/>
          <w:sz w:val="32"/>
          <w:szCs w:val="24"/>
          <w:highlight w:val="none"/>
          <w:lang w:val="en-US" w:eastAsia="zh-CN" w:bidi="ar-SA"/>
        </w:rPr>
        <w:t>绿色电力消费比例目标的企业完成指标。按以下步骤进行分配：</w:t>
      </w:r>
    </w:p>
    <w:p w14:paraId="76493041">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b w:val="0"/>
          <w:bCs w:val="0"/>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①计算所有保障企业的平均自主绿电消费水平：所有保障企业平均自主绿电消费水平=（所有保障企业可验证的自主购买绿证对应电量合计值+所有保障企业无偿划转的存量常规水电绿证对应电量合计值+所有保障企业通过自发自用、绿电直连等物理连接方式实现绿电消费的电量合计值+所有保障企业申请划转的机制电量绿证对应电量合计值）÷所有保障企业实际用电量。</w:t>
      </w:r>
    </w:p>
    <w:p w14:paraId="5DB5C172">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b w:val="0"/>
          <w:bCs w:val="0"/>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②计算省内各重点用能企业自主绿电消费水平：企业自主绿电消费水平=（企业可验证的自主购买绿证对应电量+企业无偿划转的存量常规水电绿证对应电量+企业通过自发自用、绿电直连等物理连接方式实现绿电消费的电量+企业申请划转的机制电量绿证对应电量）÷企业实际用电量。</w:t>
      </w:r>
    </w:p>
    <w:p w14:paraId="46A51682">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b w:val="0"/>
          <w:bCs w:val="0"/>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③计算省内行业/类别平均保障缺口：行业/类别平均保障缺口=max{国家下达或省级能源主管部门确定的该行业/类别绿色电力消费比例目标-所有保障企业平均自主绿电消费水平，0}。2025年及之前生产的绿证分配时不设行业/类别平均保障缺口。</w:t>
      </w:r>
    </w:p>
    <w:p w14:paraId="2281C112">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b/>
          <w:bCs/>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④计算省内各重点用能企业保障缺口：企业保障缺口=max{国家下达或省级能源主管部门确定的该行业</w:t>
      </w:r>
      <w:r>
        <w:rPr>
          <w:rFonts w:hint="default" w:ascii="宋体" w:hAnsi="宋体" w:eastAsia="方正仿宋_GBK" w:cs="Times New Roman"/>
          <w:spacing w:val="0"/>
          <w:sz w:val="32"/>
          <w:szCs w:val="32"/>
          <w:lang w:val="en-US" w:eastAsia="zh-CN"/>
        </w:rPr>
        <w:t>/类别</w:t>
      </w:r>
      <w:r>
        <w:rPr>
          <w:rFonts w:hint="default" w:ascii="宋体" w:hAnsi="宋体" w:eastAsia="方正仿宋_GBK" w:cs="Times New Roman"/>
          <w:b w:val="0"/>
          <w:bCs w:val="0"/>
          <w:color w:val="auto"/>
          <w:spacing w:val="0"/>
          <w:kern w:val="2"/>
          <w:sz w:val="32"/>
          <w:szCs w:val="24"/>
          <w:highlight w:val="none"/>
          <w:lang w:val="en-US" w:eastAsia="zh-CN" w:bidi="ar-SA"/>
        </w:rPr>
        <w:t>绿色电力消费比例目标-企业自主绿电消费水平，0}。</w:t>
      </w:r>
    </w:p>
    <w:p w14:paraId="7A55ECA9">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b w:val="0"/>
          <w:bCs w:val="0"/>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⑤计算省内各重点用能企业基础保障分配绿证数量：企业基础保障分配绿证=min{企业保障缺口，行业</w:t>
      </w:r>
      <w:r>
        <w:rPr>
          <w:rFonts w:hint="default" w:ascii="宋体" w:hAnsi="宋体" w:eastAsia="方正仿宋_GBK" w:cs="Times New Roman"/>
          <w:spacing w:val="0"/>
          <w:sz w:val="32"/>
          <w:szCs w:val="32"/>
          <w:lang w:val="en-US" w:eastAsia="zh-CN"/>
        </w:rPr>
        <w:t>/类别</w:t>
      </w:r>
      <w:r>
        <w:rPr>
          <w:rFonts w:hint="default" w:ascii="宋体" w:hAnsi="宋体" w:eastAsia="方正仿宋_GBK" w:cs="Times New Roman"/>
          <w:b w:val="0"/>
          <w:bCs w:val="0"/>
          <w:color w:val="auto"/>
          <w:spacing w:val="0"/>
          <w:kern w:val="2"/>
          <w:sz w:val="32"/>
          <w:szCs w:val="24"/>
          <w:highlight w:val="none"/>
          <w:lang w:val="en-US" w:eastAsia="zh-CN" w:bidi="ar-SA"/>
        </w:rPr>
        <w:t>平均保障缺口}×企业实际用电量÷1000。</w:t>
      </w:r>
    </w:p>
    <w:p w14:paraId="2ED2D307">
      <w:pPr>
        <w:spacing w:line="570" w:lineRule="exact"/>
        <w:ind w:firstLine="640" w:firstLineChars="200"/>
        <w:rPr>
          <w:rFonts w:hint="default" w:ascii="宋体" w:hAnsi="宋体" w:eastAsia="方正仿宋_GBK" w:cs="Times New Roman"/>
          <w:spacing w:val="0"/>
          <w:sz w:val="32"/>
          <w:szCs w:val="32"/>
          <w:lang w:val="en-US" w:eastAsia="zh-CN"/>
        </w:rPr>
      </w:pPr>
      <w:r>
        <w:rPr>
          <w:rFonts w:hint="default" w:ascii="宋体" w:hAnsi="宋体" w:eastAsia="方正仿宋_GBK" w:cs="Times New Roman"/>
          <w:spacing w:val="0"/>
          <w:sz w:val="32"/>
          <w:szCs w:val="32"/>
          <w:lang w:val="en-US" w:eastAsia="zh-CN"/>
        </w:rPr>
        <w:t>例：2025年，不设基准线及平均保障缺口。若当年省内电解铝行业企业平均自主绿电消费水平为50%，该行业保障比例目标为70%。对于当年自主绿电消费水平分别为65%（企业A）、35%（企业B）和90%（企业C）的三家电解铝企业，省级绿证账户首轮分配比例目标分别为5%、35%和0%。首轮绿证分配后，企业的绿电消费水平将分别达到70%、70%、90%。</w:t>
      </w:r>
    </w:p>
    <w:p w14:paraId="0183E0EB">
      <w:pPr>
        <w:spacing w:line="570" w:lineRule="exact"/>
        <w:ind w:firstLine="640" w:firstLineChars="200"/>
        <w:rPr>
          <w:rFonts w:hint="default" w:ascii="宋体" w:hAnsi="宋体" w:eastAsia="方正仿宋_GBK" w:cs="Times New Roman"/>
          <w:spacing w:val="0"/>
          <w:sz w:val="32"/>
          <w:szCs w:val="32"/>
          <w:lang w:val="en-US" w:eastAsia="zh-CN"/>
        </w:rPr>
      </w:pPr>
      <w:r>
        <w:rPr>
          <w:rFonts w:hint="default" w:ascii="宋体" w:hAnsi="宋体" w:eastAsia="方正仿宋_GBK" w:cs="Times New Roman"/>
          <w:spacing w:val="0"/>
          <w:sz w:val="32"/>
          <w:szCs w:val="32"/>
          <w:lang w:val="en-US" w:eastAsia="zh-CN"/>
        </w:rPr>
        <w:t>2026年及之后，执行基准线和平均保障缺口。承接上例，若对应年度省内所有保障企业平均自主绿电消费水平为50%（即补偿线），企业A和企业C已超过补偿线，可获得分配资格。企业B未达补偿线，须自行购买绿证将绿电消费水平提升至补偿线后，方可获得资格。若企业B未将绿电消费水平提升至补偿线，省级绿证账户首轮分配比例目标分别为5%、0%和0%。首轮绿证分配后，企业的绿电消费水平将分别达到70%、35%、90%。</w:t>
      </w:r>
    </w:p>
    <w:p w14:paraId="2D6A5C04">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初期重点用能行业企业覆盖面较小，省级绿证账户绿证充足情况下，可在国家下达指标的基础上适当提升保障比例目标，促进省内重点用能行业企业加快绿色转型发展。</w:t>
      </w:r>
    </w:p>
    <w:p w14:paraId="1AA29639">
      <w:pPr>
        <w:pStyle w:val="5"/>
        <w:keepNext w:val="0"/>
        <w:keepLines w:val="0"/>
        <w:pageBreakBefore w:val="0"/>
        <w:widowControl w:val="0"/>
        <w:kinsoku/>
        <w:wordWrap/>
        <w:overflowPunct/>
        <w:topLinePunct w:val="0"/>
        <w:autoSpaceDE/>
        <w:autoSpaceDN/>
        <w:bidi w:val="0"/>
        <w:adjustRightInd/>
        <w:snapToGrid/>
        <w:spacing w:after="0" w:line="570" w:lineRule="exact"/>
        <w:ind w:firstLine="643" w:firstLineChars="200"/>
        <w:textAlignment w:val="auto"/>
        <w:outlineLvl w:val="2"/>
        <w:rPr>
          <w:rFonts w:hint="default" w:ascii="宋体" w:hAnsi="宋体" w:eastAsia="方正仿宋_GBK" w:cs="Times New Roman"/>
          <w:b/>
          <w:bCs/>
          <w:color w:val="auto"/>
          <w:spacing w:val="0"/>
          <w:sz w:val="32"/>
          <w:szCs w:val="32"/>
          <w:highlight w:val="none"/>
          <w:lang w:val="en-US" w:eastAsia="zh-CN"/>
        </w:rPr>
      </w:pPr>
      <w:r>
        <w:rPr>
          <w:rFonts w:hint="eastAsia" w:ascii="宋体" w:hAnsi="宋体" w:eastAsia="方正仿宋_GBK" w:cs="Times New Roman"/>
          <w:b/>
          <w:bCs/>
          <w:color w:val="auto"/>
          <w:spacing w:val="0"/>
          <w:sz w:val="32"/>
          <w:szCs w:val="32"/>
          <w:highlight w:val="none"/>
          <w:lang w:val="en-US" w:eastAsia="zh-CN"/>
        </w:rPr>
        <w:t>（2）</w:t>
      </w:r>
      <w:r>
        <w:rPr>
          <w:rFonts w:hint="default" w:ascii="宋体" w:hAnsi="宋体" w:eastAsia="方正仿宋_GBK" w:cs="Times New Roman"/>
          <w:b/>
          <w:bCs/>
          <w:color w:val="auto"/>
          <w:spacing w:val="0"/>
          <w:sz w:val="32"/>
          <w:szCs w:val="32"/>
          <w:highlight w:val="none"/>
          <w:lang w:val="en-US" w:eastAsia="zh-CN"/>
        </w:rPr>
        <w:t>激励分配</w:t>
      </w:r>
    </w:p>
    <w:p w14:paraId="54AC9449">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基础保障分配完成后，进行激励分配，旨在对省内自主绿电消费水平高于所有保障企业平均值的企业进行激励。激励基准为企业超出所有保障企业平均自主绿电消费水平的部分，按K1的比例给予激励。K1暂取0.3（K1</w:t>
      </w:r>
      <w:r>
        <w:rPr>
          <w:rFonts w:hint="eastAsia" w:ascii="宋体" w:hAnsi="宋体" w:eastAsia="方正仿宋_GBK" w:cs="Times New Roman"/>
          <w:color w:val="auto"/>
          <w:spacing w:val="0"/>
          <w:kern w:val="2"/>
          <w:sz w:val="32"/>
          <w:szCs w:val="24"/>
          <w:highlight w:val="none"/>
          <w:lang w:val="en-US" w:eastAsia="zh-CN" w:bidi="ar-SA"/>
        </w:rPr>
        <w:t>系估算</w:t>
      </w:r>
      <w:r>
        <w:rPr>
          <w:rFonts w:hint="default" w:ascii="宋体" w:hAnsi="宋体" w:eastAsia="方正仿宋_GBK" w:cs="Times New Roman"/>
          <w:color w:val="auto"/>
          <w:spacing w:val="0"/>
          <w:kern w:val="2"/>
          <w:sz w:val="32"/>
          <w:szCs w:val="24"/>
          <w:highlight w:val="none"/>
          <w:lang w:val="en-US" w:eastAsia="zh-CN" w:bidi="ar-SA"/>
        </w:rPr>
        <w:t>，</w:t>
      </w:r>
      <w:r>
        <w:rPr>
          <w:rFonts w:hint="eastAsia" w:ascii="宋体" w:hAnsi="宋体" w:eastAsia="方正仿宋_GBK" w:cs="Times New Roman"/>
          <w:color w:val="auto"/>
          <w:spacing w:val="0"/>
          <w:kern w:val="2"/>
          <w:sz w:val="32"/>
          <w:szCs w:val="24"/>
          <w:highlight w:val="none"/>
          <w:lang w:val="en-US" w:eastAsia="zh-CN" w:bidi="ar-SA"/>
        </w:rPr>
        <w:t>若2025年第二序位即省内重点用能企业数量较多，</w:t>
      </w:r>
      <w:r>
        <w:rPr>
          <w:rFonts w:hint="default" w:ascii="宋体" w:hAnsi="宋体" w:eastAsia="方正仿宋_GBK" w:cs="Times New Roman"/>
          <w:color w:val="auto"/>
          <w:spacing w:val="0"/>
          <w:kern w:val="2"/>
          <w:sz w:val="32"/>
          <w:szCs w:val="24"/>
          <w:highlight w:val="none"/>
          <w:lang w:val="en-US" w:eastAsia="zh-CN" w:bidi="ar-SA"/>
        </w:rPr>
        <w:t>K1</w:t>
      </w:r>
      <w:r>
        <w:rPr>
          <w:rFonts w:hint="eastAsia" w:ascii="宋体" w:hAnsi="宋体" w:eastAsia="方正仿宋_GBK" w:cs="Times New Roman"/>
          <w:color w:val="auto"/>
          <w:spacing w:val="0"/>
          <w:kern w:val="2"/>
          <w:sz w:val="32"/>
          <w:szCs w:val="24"/>
          <w:highlight w:val="none"/>
          <w:lang w:val="en-US" w:eastAsia="zh-CN" w:bidi="ar-SA"/>
        </w:rPr>
        <w:t>可适当下调至0.2或0.1，</w:t>
      </w:r>
      <w:r>
        <w:rPr>
          <w:rFonts w:hint="default" w:ascii="宋体" w:hAnsi="宋体" w:eastAsia="方正仿宋_GBK" w:cs="Times New Roman"/>
          <w:color w:val="auto"/>
          <w:spacing w:val="0"/>
          <w:kern w:val="2"/>
          <w:sz w:val="32"/>
          <w:szCs w:val="24"/>
          <w:highlight w:val="none"/>
          <w:lang w:val="en-US" w:eastAsia="zh-CN" w:bidi="ar-SA"/>
        </w:rPr>
        <w:t>相当于在激励基准的基础上打</w:t>
      </w:r>
      <w:r>
        <w:rPr>
          <w:rFonts w:hint="eastAsia" w:ascii="宋体" w:hAnsi="宋体" w:eastAsia="方正仿宋_GBK" w:cs="Times New Roman"/>
          <w:color w:val="auto"/>
          <w:spacing w:val="0"/>
          <w:kern w:val="2"/>
          <w:sz w:val="32"/>
          <w:szCs w:val="24"/>
          <w:highlight w:val="none"/>
          <w:lang w:val="en-US" w:eastAsia="zh-CN" w:bidi="ar-SA"/>
        </w:rPr>
        <w:t>2</w:t>
      </w:r>
      <w:r>
        <w:rPr>
          <w:rFonts w:hint="default" w:ascii="宋体" w:hAnsi="宋体" w:eastAsia="方正仿宋_GBK" w:cs="Times New Roman"/>
          <w:color w:val="auto"/>
          <w:spacing w:val="0"/>
          <w:kern w:val="2"/>
          <w:sz w:val="32"/>
          <w:szCs w:val="24"/>
          <w:highlight w:val="none"/>
          <w:lang w:val="en-US" w:eastAsia="zh-CN" w:bidi="ar-SA"/>
        </w:rPr>
        <w:t>折</w:t>
      </w:r>
      <w:r>
        <w:rPr>
          <w:rFonts w:hint="eastAsia" w:ascii="宋体" w:hAnsi="宋体" w:eastAsia="方正仿宋_GBK" w:cs="Times New Roman"/>
          <w:color w:val="auto"/>
          <w:spacing w:val="0"/>
          <w:kern w:val="2"/>
          <w:sz w:val="32"/>
          <w:szCs w:val="24"/>
          <w:highlight w:val="none"/>
          <w:lang w:val="en-US" w:eastAsia="zh-CN" w:bidi="ar-SA"/>
        </w:rPr>
        <w:t>或1</w:t>
      </w:r>
      <w:r>
        <w:rPr>
          <w:rFonts w:hint="default" w:ascii="宋体" w:hAnsi="宋体" w:eastAsia="方正仿宋_GBK" w:cs="Times New Roman"/>
          <w:color w:val="auto"/>
          <w:spacing w:val="0"/>
          <w:kern w:val="2"/>
          <w:sz w:val="32"/>
          <w:szCs w:val="24"/>
          <w:highlight w:val="none"/>
          <w:lang w:val="en-US" w:eastAsia="zh-CN" w:bidi="ar-SA"/>
        </w:rPr>
        <w:t>折），省级能源主管部门后续可根据省级绿证账户绿证结余、行业/类别发展阶段及企业实际需求动态调整。按以下步骤进行分配：</w:t>
      </w:r>
    </w:p>
    <w:p w14:paraId="19F5A67B">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①计算激励基准：激励基准=max{企业自主绿电消费水平-所有保障企业平均自主绿电消费水平，0}。</w:t>
      </w:r>
    </w:p>
    <w:p w14:paraId="667B645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b w:val="0"/>
          <w:bCs w:val="0"/>
          <w:color w:val="auto"/>
          <w:spacing w:val="0"/>
          <w:kern w:val="2"/>
          <w:sz w:val="32"/>
          <w:szCs w:val="24"/>
          <w:highlight w:val="none"/>
          <w:lang w:val="en-US" w:eastAsia="zh-CN" w:bidi="ar-SA"/>
        </w:rPr>
        <w:t>②计算激励分配绿证数量：</w:t>
      </w:r>
      <w:r>
        <w:rPr>
          <w:rFonts w:hint="default" w:ascii="宋体" w:hAnsi="宋体" w:eastAsia="方正仿宋_GBK" w:cs="Times New Roman"/>
          <w:color w:val="auto"/>
          <w:spacing w:val="0"/>
          <w:kern w:val="2"/>
          <w:sz w:val="32"/>
          <w:szCs w:val="24"/>
          <w:highlight w:val="none"/>
          <w:lang w:val="en-US" w:eastAsia="zh-CN" w:bidi="ar-SA"/>
        </w:rPr>
        <w:t>激励分配绿证数量=min{激励基准×K1，max（1-企业自主绿电消费水平-企业基础保障分配绿证×1000÷企业实际用电量，0）}×企业实际用电量÷1000。</w:t>
      </w:r>
    </w:p>
    <w:p w14:paraId="6E9E46CD">
      <w:pPr>
        <w:spacing w:line="570" w:lineRule="exact"/>
        <w:ind w:firstLine="640" w:firstLineChars="200"/>
        <w:rPr>
          <w:rFonts w:hint="default" w:ascii="宋体" w:hAnsi="宋体" w:eastAsia="方正仿宋_GBK" w:cs="Times New Roman"/>
          <w:spacing w:val="0"/>
          <w:sz w:val="32"/>
          <w:szCs w:val="32"/>
          <w:lang w:val="en-US" w:eastAsia="zh-CN"/>
        </w:rPr>
      </w:pPr>
      <w:r>
        <w:rPr>
          <w:rFonts w:hint="default" w:ascii="宋体" w:hAnsi="宋体" w:eastAsia="方正仿宋_GBK" w:cs="Times New Roman"/>
          <w:spacing w:val="0"/>
          <w:sz w:val="32"/>
          <w:szCs w:val="32"/>
          <w:lang w:val="en-US" w:eastAsia="zh-CN"/>
        </w:rPr>
        <w:t>例：承接2025年案例，首轮“基础保障”分配后，上述三家企业的绿电消费水平将分别达到70%、70%、90%。通过激励分配，三家企业可以进一步分别获得其用电量4.5%、0%和10%规模的绿证，最终企业绿电消费水平可达74.5%、70%和100%。</w:t>
      </w:r>
    </w:p>
    <w:p w14:paraId="734265AE">
      <w:pPr>
        <w:spacing w:line="570" w:lineRule="exact"/>
        <w:ind w:firstLine="640" w:firstLineChars="200"/>
        <w:rPr>
          <w:rFonts w:hint="default" w:ascii="宋体" w:hAnsi="宋体" w:eastAsia="方正仿宋_GBK" w:cs="Times New Roman"/>
          <w:spacing w:val="0"/>
          <w:sz w:val="32"/>
          <w:szCs w:val="32"/>
          <w:lang w:val="en-US" w:eastAsia="zh-CN"/>
        </w:rPr>
      </w:pPr>
      <w:r>
        <w:rPr>
          <w:rFonts w:hint="default" w:ascii="宋体" w:hAnsi="宋体" w:eastAsia="方正仿宋_GBK" w:cs="Times New Roman"/>
          <w:spacing w:val="0"/>
          <w:sz w:val="32"/>
          <w:szCs w:val="32"/>
          <w:lang w:val="en-US" w:eastAsia="zh-CN"/>
        </w:rPr>
        <w:t>承接2026年案例，首轮“基础保障”分配后，上述三家企业的绿电消费水平将分别达到70%、35%、90%。通过激励分配，三家企业可以进一步分别获得其用电量4.5%、0%和10%规模的绿证，最终企业绿电消费水平可达74.5%、35%和100%。</w:t>
      </w:r>
    </w:p>
    <w:p w14:paraId="22071914">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3" w:firstLineChars="200"/>
        <w:jc w:val="both"/>
        <w:textAlignment w:val="auto"/>
        <w:outlineLvl w:val="2"/>
        <w:rPr>
          <w:rFonts w:hint="default" w:ascii="宋体" w:hAnsi="宋体" w:eastAsia="仿宋" w:cs="Times New Roman"/>
          <w:b/>
          <w:bCs/>
          <w:color w:val="auto"/>
          <w:spacing w:val="0"/>
          <w:kern w:val="2"/>
          <w:sz w:val="32"/>
          <w:szCs w:val="24"/>
          <w:highlight w:val="none"/>
          <w:lang w:val="en-US" w:eastAsia="zh-CN" w:bidi="ar-SA"/>
        </w:rPr>
      </w:pPr>
      <w:r>
        <w:rPr>
          <w:rFonts w:hint="eastAsia" w:ascii="宋体" w:hAnsi="宋体" w:eastAsia="方正仿宋_GBK" w:cs="Times New Roman"/>
          <w:b/>
          <w:bCs/>
          <w:color w:val="auto"/>
          <w:spacing w:val="0"/>
          <w:kern w:val="2"/>
          <w:sz w:val="32"/>
          <w:szCs w:val="24"/>
          <w:highlight w:val="none"/>
          <w:lang w:val="en-US" w:eastAsia="zh-CN" w:bidi="ar-SA"/>
        </w:rPr>
        <w:t>（3）</w:t>
      </w:r>
      <w:r>
        <w:rPr>
          <w:rFonts w:hint="default" w:ascii="宋体" w:hAnsi="宋体" w:eastAsia="方正仿宋_GBK" w:cs="Times New Roman"/>
          <w:b/>
          <w:bCs/>
          <w:color w:val="auto"/>
          <w:spacing w:val="0"/>
          <w:kern w:val="2"/>
          <w:sz w:val="32"/>
          <w:szCs w:val="24"/>
          <w:highlight w:val="none"/>
          <w:lang w:val="en-US" w:eastAsia="zh-CN" w:bidi="ar-SA"/>
        </w:rPr>
        <w:t>其他</w:t>
      </w:r>
      <w:r>
        <w:rPr>
          <w:rFonts w:hint="eastAsia" w:ascii="宋体" w:hAnsi="宋体" w:eastAsia="方正仿宋_GBK" w:cs="Times New Roman"/>
          <w:b/>
          <w:bCs/>
          <w:color w:val="auto"/>
          <w:spacing w:val="0"/>
          <w:kern w:val="2"/>
          <w:sz w:val="32"/>
          <w:szCs w:val="24"/>
          <w:highlight w:val="none"/>
          <w:lang w:val="en-US" w:eastAsia="zh-CN" w:bidi="ar-SA"/>
        </w:rPr>
        <w:t>激励分配</w:t>
      </w:r>
    </w:p>
    <w:p w14:paraId="7C5ABE41">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为更好服务绿电招商，对于经云南省能源局会同云南省发展改革委、云南省工信厅等有关部门确定的招商引资重点企业，在建成投产且达产运行后连续3年给予分配支持。在省级绿证账户绿证充足前提下，支持企业实现保障比例目标。具体而言，若企业经基础保障和激励分配后，其绿色电力消费比例未达到保障比例目标，差额部分通过省级绿证账户补充分配绿证补足。若省级绿证账户绿证不足，则补充分配时各企业分配数量等比例调减。</w:t>
      </w:r>
    </w:p>
    <w:p w14:paraId="0288D720">
      <w:pPr>
        <w:pStyle w:val="5"/>
        <w:spacing w:after="0" w:line="570" w:lineRule="exact"/>
        <w:ind w:firstLine="643" w:firstLineChars="200"/>
        <w:outlineLvl w:val="1"/>
        <w:rPr>
          <w:rFonts w:hint="eastAsia" w:ascii="宋体" w:hAnsi="宋体" w:eastAsia="方正仿宋_GBK" w:cs="方正仿宋_GBK"/>
          <w:b/>
          <w:bCs/>
          <w:color w:val="auto"/>
          <w:spacing w:val="0"/>
          <w:sz w:val="32"/>
          <w:szCs w:val="32"/>
          <w:highlight w:val="none"/>
          <w:lang w:val="en-US" w:eastAsia="zh-CN"/>
        </w:rPr>
      </w:pPr>
      <w:r>
        <w:rPr>
          <w:rFonts w:hint="eastAsia" w:ascii="宋体" w:hAnsi="宋体" w:eastAsia="方正仿宋_GBK" w:cs="方正仿宋_GBK"/>
          <w:b/>
          <w:bCs/>
          <w:color w:val="auto"/>
          <w:spacing w:val="0"/>
          <w:sz w:val="32"/>
          <w:szCs w:val="32"/>
          <w:highlight w:val="none"/>
          <w:lang w:val="en-US" w:eastAsia="zh-CN"/>
        </w:rPr>
        <w:t>4.分配方式</w:t>
      </w:r>
    </w:p>
    <w:p w14:paraId="509B72EA">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（1）按绿证生产时间，以月度为单位进行分配。根据企业年度保障比例目标及激励比例，结合企业各月实际用电量，逐月计算出各企业当月的</w:t>
      </w:r>
      <w:r>
        <w:rPr>
          <w:rFonts w:hint="eastAsia" w:ascii="宋体" w:hAnsi="宋体" w:eastAsia="方正仿宋_GBK" w:cs="Times New Roman"/>
          <w:color w:val="auto"/>
          <w:spacing w:val="0"/>
          <w:kern w:val="2"/>
          <w:sz w:val="32"/>
          <w:szCs w:val="24"/>
          <w:highlight w:val="none"/>
          <w:lang w:val="en-US" w:eastAsia="zh-CN" w:bidi="ar-SA"/>
        </w:rPr>
        <w:t>第二阶段</w:t>
      </w:r>
      <w:r>
        <w:rPr>
          <w:rFonts w:hint="default" w:ascii="宋体" w:hAnsi="宋体" w:eastAsia="方正仿宋_GBK" w:cs="Times New Roman"/>
          <w:color w:val="auto"/>
          <w:spacing w:val="0"/>
          <w:kern w:val="2"/>
          <w:sz w:val="32"/>
          <w:szCs w:val="24"/>
          <w:highlight w:val="none"/>
          <w:lang w:val="en-US" w:eastAsia="zh-CN" w:bidi="ar-SA"/>
        </w:rPr>
        <w:t>绿证分配目标数量。若当月省级绿证账户绿证不足以保障目标分配比例完成，则同一序位内各企业目标分配比例，按可分配数量占目标分配数量的比例调减。当月分配数量达不到分配目标的企业，滚动至次月进行分配。每月分配时，优先满足从以往月份累积的未完成分配目标（即，滚动目标）。滚动目标全部满足后，若仍有剩余绿证，再用于当月新增目标分配。</w:t>
      </w:r>
    </w:p>
    <w:p w14:paraId="37BA7FC2">
      <w:pPr>
        <w:pStyle w:val="5"/>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auto"/>
        <w:rPr>
          <w:rFonts w:hint="default" w:ascii="宋体" w:hAnsi="宋体" w:eastAsia="方正仿宋_GBK" w:cs="Times New Roman"/>
          <w:color w:val="auto"/>
          <w:spacing w:val="0"/>
          <w:sz w:val="32"/>
          <w:szCs w:val="32"/>
          <w:highlight w:val="none"/>
          <w:lang w:val="en-US" w:eastAsia="zh-CN"/>
        </w:rPr>
      </w:pPr>
      <w:r>
        <w:rPr>
          <w:rFonts w:hint="default" w:ascii="宋体" w:hAnsi="宋体" w:eastAsia="方正仿宋_GBK" w:cs="Times New Roman"/>
          <w:color w:val="auto"/>
          <w:spacing w:val="0"/>
          <w:kern w:val="2"/>
          <w:sz w:val="32"/>
          <w:szCs w:val="24"/>
          <w:highlight w:val="none"/>
          <w:lang w:val="en-US" w:eastAsia="zh-CN" w:bidi="ar-SA"/>
        </w:rPr>
        <w:t>（2）绿证分配目标数量计算完成后开展</w:t>
      </w:r>
      <w:r>
        <w:rPr>
          <w:rFonts w:hint="default" w:ascii="宋体" w:hAnsi="宋体" w:eastAsia="方正仿宋_GBK" w:cs="Times New Roman"/>
          <w:color w:val="auto"/>
          <w:spacing w:val="0"/>
          <w:sz w:val="32"/>
          <w:szCs w:val="32"/>
          <w:highlight w:val="none"/>
          <w:lang w:val="en-US" w:eastAsia="zh-CN"/>
        </w:rPr>
        <w:t>绿证匹配。将电力用户按分配绿证数量由大到小排序，并将发电项目依次按存量常规水电绿证数量由大到小、新能源机制电量绿证数量由大到小排序，以匹配电力用户分配绿证数量为目标，按照排序依次匹配发电项目绿证，直至排在最后一位的电力用户匹配完成，形成发用双方的对应关系以及对应匹配数量明确的划转数据，用于后续绿证划转。</w:t>
      </w:r>
    </w:p>
    <w:p w14:paraId="3DA2F827">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（3）每月，企业通过自主购买、无偿划转及省级绿证账户分配所获绿证对应电量，以及企业通过自发自用、绿电直连等物理连接方式实现绿电消费的电量的合计值，不得超过该月实际用电量。</w:t>
      </w:r>
    </w:p>
    <w:p w14:paraId="6484C11E">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（4）云南电网、保山电力优先发电及代理购电对应绿证在各自供电的企业范围内优先分配使用。</w:t>
      </w:r>
    </w:p>
    <w:p w14:paraId="5D0758A4">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仿宋" w:cs="Times New Roman"/>
          <w:color w:val="auto"/>
          <w:spacing w:val="0"/>
          <w:kern w:val="2"/>
          <w:sz w:val="32"/>
          <w:szCs w:val="24"/>
          <w:highlight w:val="none"/>
          <w:lang w:val="en-US" w:eastAsia="zh-CN" w:bidi="ar-SA"/>
        </w:rPr>
      </w:pPr>
      <w:r>
        <w:rPr>
          <w:rFonts w:hint="default" w:ascii="宋体" w:hAnsi="宋体" w:eastAsia="方正仿宋_GBK" w:cs="Times New Roman"/>
          <w:color w:val="auto"/>
          <w:spacing w:val="0"/>
          <w:kern w:val="2"/>
          <w:sz w:val="32"/>
          <w:szCs w:val="24"/>
          <w:highlight w:val="none"/>
          <w:lang w:val="en-US" w:eastAsia="zh-CN" w:bidi="ar-SA"/>
        </w:rPr>
        <w:t>（5）各月绿证分配在相应月度电力交易溯源和存量常规水电绿证划转工作完成后适时组织开展。</w:t>
      </w:r>
    </w:p>
    <w:p w14:paraId="3E952A97">
      <w:pPr>
        <w:pStyle w:val="5"/>
        <w:spacing w:after="0" w:line="570" w:lineRule="exact"/>
        <w:ind w:firstLine="640" w:firstLineChars="200"/>
        <w:outlineLvl w:val="0"/>
        <w:rPr>
          <w:rFonts w:hint="eastAsia" w:ascii="宋体" w:hAnsi="宋体" w:eastAsia="黑体" w:cs="黑体"/>
          <w:b w:val="0"/>
          <w:bCs w:val="0"/>
          <w:color w:val="auto"/>
          <w:spacing w:val="0"/>
          <w:sz w:val="32"/>
          <w:szCs w:val="32"/>
          <w:highlight w:val="none"/>
          <w:lang w:val="en-US" w:eastAsia="zh-CN"/>
        </w:rPr>
      </w:pPr>
      <w:r>
        <w:rPr>
          <w:rFonts w:hint="eastAsia" w:ascii="宋体" w:hAnsi="宋体" w:eastAsia="方正黑体_GBK" w:cs="方正黑体_GBK"/>
          <w:b w:val="0"/>
          <w:bCs w:val="0"/>
          <w:color w:val="auto"/>
          <w:spacing w:val="0"/>
          <w:sz w:val="32"/>
          <w:szCs w:val="32"/>
          <w:highlight w:val="none"/>
          <w:lang w:val="en-US" w:eastAsia="zh-CN"/>
        </w:rPr>
        <w:t>四、市场化分配</w:t>
      </w:r>
    </w:p>
    <w:p w14:paraId="44F29965">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仿宋" w:cs="Times New Roman"/>
          <w:color w:val="auto"/>
          <w:spacing w:val="0"/>
          <w:sz w:val="32"/>
          <w:szCs w:val="32"/>
          <w:highlight w:val="none"/>
          <w:lang w:val="en-US" w:eastAsia="zh-CN"/>
        </w:rPr>
      </w:pPr>
      <w:r>
        <w:rPr>
          <w:rFonts w:hint="eastAsia" w:ascii="宋体" w:hAnsi="宋体" w:eastAsia="方正仿宋_GBK" w:cs="方正仿宋_GBK"/>
          <w:color w:val="auto"/>
          <w:spacing w:val="0"/>
          <w:sz w:val="32"/>
          <w:szCs w:val="32"/>
          <w:highlight w:val="none"/>
          <w:lang w:val="en-US" w:eastAsia="zh-CN"/>
        </w:rPr>
        <w:t>政策性分配后，省级绿证账户的剩余绿证按市场化方式适时组织挂牌无偿分配，</w:t>
      </w:r>
      <w:r>
        <w:rPr>
          <w:rFonts w:hint="eastAsia" w:ascii="宋体" w:hAnsi="宋体" w:eastAsia="方正仿宋_GBK" w:cs="方正仿宋_GBK"/>
          <w:spacing w:val="0"/>
          <w:sz w:val="32"/>
          <w:szCs w:val="32"/>
          <w:lang w:val="en-US" w:eastAsia="zh-CN"/>
        </w:rPr>
        <w:t>优先分配绿证账户中的存量常规水电绿证。</w:t>
      </w:r>
      <w:r>
        <w:rPr>
          <w:rFonts w:hint="eastAsia" w:ascii="宋体" w:hAnsi="宋体" w:eastAsia="方正仿宋_GBK" w:cs="方正仿宋_GBK"/>
          <w:color w:val="auto"/>
          <w:spacing w:val="0"/>
          <w:sz w:val="32"/>
          <w:szCs w:val="32"/>
          <w:highlight w:val="none"/>
          <w:lang w:val="en-US" w:eastAsia="zh-CN"/>
        </w:rPr>
        <w:t>具体分配步骤如下：</w:t>
      </w:r>
    </w:p>
    <w:p w14:paraId="5D995F19">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仿宋" w:cs="Times New Roman"/>
          <w:color w:val="auto"/>
          <w:spacing w:val="0"/>
          <w:sz w:val="32"/>
          <w:szCs w:val="32"/>
          <w:highlight w:val="none"/>
          <w:lang w:val="en-US" w:eastAsia="zh-CN"/>
        </w:rPr>
      </w:pPr>
      <w:r>
        <w:rPr>
          <w:rFonts w:hint="eastAsia" w:ascii="宋体" w:hAnsi="宋体" w:eastAsia="方正楷体_GBK" w:cs="方正楷体_GBK"/>
          <w:b w:val="0"/>
          <w:bCs w:val="0"/>
          <w:color w:val="auto"/>
          <w:spacing w:val="0"/>
          <w:sz w:val="32"/>
          <w:szCs w:val="32"/>
          <w:highlight w:val="none"/>
          <w:lang w:val="en-US" w:eastAsia="zh-CN"/>
        </w:rPr>
        <w:t>（一）挂牌。</w:t>
      </w:r>
      <w:r>
        <w:rPr>
          <w:rFonts w:hint="eastAsia" w:ascii="宋体" w:hAnsi="宋体" w:eastAsia="方正仿宋_GBK" w:cs="方正仿宋_GBK"/>
          <w:color w:val="auto"/>
          <w:spacing w:val="0"/>
          <w:sz w:val="32"/>
          <w:szCs w:val="32"/>
          <w:highlight w:val="none"/>
          <w:lang w:val="en-US" w:eastAsia="zh-CN"/>
        </w:rPr>
        <w:t>根据省级绿证账户剩余绿证数量，分月将全部剩余绿证一次性挂出。</w:t>
      </w:r>
    </w:p>
    <w:p w14:paraId="1A7E6A18">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eastAsia" w:ascii="宋体" w:hAnsi="宋体" w:eastAsia="方正仿宋_GBK" w:cs="方正仿宋_GBK"/>
          <w:color w:val="auto"/>
          <w:spacing w:val="0"/>
          <w:sz w:val="32"/>
          <w:szCs w:val="32"/>
          <w:highlight w:val="none"/>
          <w:lang w:val="en-US" w:eastAsia="zh-CN"/>
        </w:rPr>
      </w:pPr>
      <w:r>
        <w:rPr>
          <w:rFonts w:hint="eastAsia" w:ascii="宋体" w:hAnsi="宋体" w:eastAsia="方正楷体_GBK" w:cs="方正楷体_GBK"/>
          <w:b w:val="0"/>
          <w:bCs w:val="0"/>
          <w:color w:val="auto"/>
          <w:spacing w:val="0"/>
          <w:sz w:val="32"/>
          <w:szCs w:val="32"/>
          <w:highlight w:val="none"/>
          <w:lang w:val="en-US" w:eastAsia="zh-CN"/>
        </w:rPr>
        <w:t>（二）</w:t>
      </w:r>
      <w:r>
        <w:rPr>
          <w:rFonts w:hint="default" w:ascii="宋体" w:hAnsi="宋体" w:eastAsia="方正楷体_GBK" w:cs="方正楷体_GBK"/>
          <w:b w:val="0"/>
          <w:bCs w:val="0"/>
          <w:color w:val="auto"/>
          <w:spacing w:val="0"/>
          <w:sz w:val="32"/>
          <w:szCs w:val="32"/>
          <w:highlight w:val="none"/>
          <w:lang w:val="en-US" w:eastAsia="zh-CN"/>
        </w:rPr>
        <w:t>摘牌。</w:t>
      </w:r>
      <w:r>
        <w:rPr>
          <w:rFonts w:hint="eastAsia" w:ascii="宋体" w:hAnsi="宋体" w:eastAsia="方正仿宋_GBK" w:cs="方正仿宋_GBK"/>
          <w:color w:val="auto"/>
          <w:spacing w:val="0"/>
          <w:sz w:val="32"/>
          <w:szCs w:val="32"/>
          <w:highlight w:val="none"/>
          <w:lang w:val="en-US" w:eastAsia="zh-CN"/>
        </w:rPr>
        <w:t>存在绿证需求的云南省内市场经营主体可在云南绿电绿证服务平台摘牌，零售用户可由当月代理售电公司代为摘牌。摘牌绿证折算电量不超过经营主体用电量扣减自主消费绿电电量及政策性分配获得绿证折算电量后的剩余电量。</w:t>
      </w:r>
    </w:p>
    <w:p w14:paraId="46AB662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仿宋" w:cs="Times New Roman"/>
          <w:color w:val="auto"/>
          <w:spacing w:val="0"/>
          <w:sz w:val="32"/>
          <w:szCs w:val="32"/>
          <w:highlight w:val="none"/>
          <w:lang w:val="en-US" w:eastAsia="zh-CN"/>
        </w:rPr>
      </w:pPr>
      <w:r>
        <w:rPr>
          <w:rFonts w:hint="eastAsia" w:ascii="宋体" w:hAnsi="宋体" w:eastAsia="方正楷体_GBK" w:cs="方正楷体_GBK"/>
          <w:b w:val="0"/>
          <w:bCs w:val="0"/>
          <w:color w:val="auto"/>
          <w:spacing w:val="0"/>
          <w:sz w:val="32"/>
          <w:szCs w:val="32"/>
          <w:highlight w:val="none"/>
          <w:lang w:val="en-US" w:eastAsia="zh-CN"/>
        </w:rPr>
        <w:t>（三）</w:t>
      </w:r>
      <w:r>
        <w:rPr>
          <w:rFonts w:hint="default" w:ascii="宋体" w:hAnsi="宋体" w:eastAsia="方正楷体_GBK" w:cs="方正楷体_GBK"/>
          <w:b w:val="0"/>
          <w:bCs w:val="0"/>
          <w:color w:val="auto"/>
          <w:spacing w:val="0"/>
          <w:sz w:val="32"/>
          <w:szCs w:val="32"/>
          <w:highlight w:val="none"/>
          <w:lang w:val="en-US" w:eastAsia="zh-CN"/>
        </w:rPr>
        <w:t>出清。</w:t>
      </w:r>
      <w:r>
        <w:rPr>
          <w:rFonts w:hint="eastAsia" w:ascii="宋体" w:hAnsi="宋体" w:eastAsia="方正仿宋_GBK" w:cs="方正仿宋_GBK"/>
          <w:color w:val="auto"/>
          <w:spacing w:val="0"/>
          <w:sz w:val="32"/>
          <w:szCs w:val="32"/>
          <w:highlight w:val="none"/>
          <w:lang w:val="en-US" w:eastAsia="zh-CN"/>
        </w:rPr>
        <w:t>若总摘牌量小于等于挂牌量，摘牌量全部成交。若总摘牌量大于挂牌量，则按各经营主体摘牌量占比分配挂牌绿证。</w:t>
      </w:r>
    </w:p>
    <w:p w14:paraId="4B2AC5C4">
      <w:pPr>
        <w:pStyle w:val="5"/>
        <w:spacing w:after="0" w:line="570" w:lineRule="exact"/>
        <w:ind w:firstLine="640" w:firstLineChars="200"/>
        <w:outlineLvl w:val="0"/>
        <w:rPr>
          <w:rFonts w:hint="eastAsia" w:ascii="宋体" w:hAnsi="宋体" w:eastAsia="方正黑体_GBK" w:cs="方正黑体_GBK"/>
          <w:b w:val="0"/>
          <w:color w:val="auto"/>
          <w:spacing w:val="0"/>
          <w:sz w:val="32"/>
          <w:szCs w:val="32"/>
          <w:highlight w:val="none"/>
          <w:lang w:val="en-US" w:eastAsia="zh-CN"/>
        </w:rPr>
      </w:pPr>
      <w:r>
        <w:rPr>
          <w:rFonts w:hint="eastAsia" w:ascii="宋体" w:hAnsi="宋体" w:eastAsia="方正黑体_GBK" w:cs="方正黑体_GBK"/>
          <w:b w:val="0"/>
          <w:color w:val="auto"/>
          <w:spacing w:val="0"/>
          <w:sz w:val="32"/>
          <w:szCs w:val="32"/>
          <w:highlight w:val="none"/>
          <w:lang w:val="en-US" w:eastAsia="zh-CN"/>
        </w:rPr>
        <w:t>五、其他</w:t>
      </w:r>
    </w:p>
    <w:p w14:paraId="51FD37CD">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sz w:val="32"/>
          <w:szCs w:val="32"/>
          <w:highlight w:val="none"/>
          <w:lang w:val="en-US" w:eastAsia="zh-CN"/>
        </w:rPr>
      </w:pPr>
      <w:r>
        <w:rPr>
          <w:rFonts w:hint="default" w:ascii="宋体" w:hAnsi="宋体" w:eastAsia="方正仿宋_GBK" w:cs="Times New Roman"/>
          <w:color w:val="auto"/>
          <w:spacing w:val="0"/>
          <w:sz w:val="32"/>
          <w:szCs w:val="32"/>
          <w:highlight w:val="none"/>
          <w:lang w:val="en-US" w:eastAsia="zh-CN"/>
        </w:rPr>
        <w:t>（一）鼓励企业通过绿电交易、绿证交易、绿电直连、可再生能源自发自用、市场化存量常规水电绿证划转等方式，提升自主绿色电力消费水平。省级绿证账户分配作为补充支持手段，发挥引导和激励作用。</w:t>
      </w:r>
    </w:p>
    <w:p w14:paraId="416472FC">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sz w:val="32"/>
          <w:szCs w:val="32"/>
          <w:highlight w:val="none"/>
          <w:lang w:val="en-US" w:eastAsia="zh-CN"/>
        </w:rPr>
      </w:pPr>
      <w:r>
        <w:rPr>
          <w:rFonts w:hint="default" w:ascii="宋体" w:hAnsi="宋体" w:eastAsia="方正仿宋_GBK" w:cs="Times New Roman"/>
          <w:color w:val="auto"/>
          <w:spacing w:val="0"/>
          <w:sz w:val="32"/>
          <w:szCs w:val="32"/>
          <w:highlight w:val="none"/>
          <w:lang w:val="en-US" w:eastAsia="zh-CN"/>
        </w:rPr>
        <w:t>（二）省级绿证账户绿证优先用于满足省内企业绿电消费需求。在确保对应年度云南省可再生能源电力消纳责任权重（包括总量消纳责任权重和非水电消纳责任权重）完成的前提下，结合省内企业绿电消费需求情况，探索开展省级绿证账户绿证向省外主体出售工作。</w:t>
      </w:r>
    </w:p>
    <w:p w14:paraId="53D36D3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宋体" w:hAnsi="宋体" w:eastAsia="方正仿宋_GBK" w:cs="Times New Roman"/>
          <w:color w:val="auto"/>
          <w:spacing w:val="0"/>
          <w:sz w:val="32"/>
          <w:szCs w:val="32"/>
          <w:highlight w:val="none"/>
          <w:lang w:val="en-US" w:eastAsia="zh-CN"/>
        </w:rPr>
      </w:pPr>
      <w:r>
        <w:rPr>
          <w:rFonts w:hint="default" w:ascii="宋体" w:hAnsi="宋体" w:eastAsia="方正仿宋_GBK" w:cs="Times New Roman"/>
          <w:color w:val="auto"/>
          <w:spacing w:val="0"/>
          <w:sz w:val="32"/>
          <w:szCs w:val="32"/>
          <w:highlight w:val="none"/>
          <w:lang w:val="en-US" w:eastAsia="zh-CN"/>
        </w:rPr>
        <w:t>（三）昆明电力交易中心配合省级能源主管部门，做好政策性分配和市场化分配等相关管理服务工作。电网企业负责向昆明电力交易中心提供省级绿证账户绿证分配所需的机制电量结算费用、机制电量绿证核发申请数量等数据。相关经营主体负责向昆明电力交易中心提供绿证交易数据，以及绿电直连电量、可再生能源自发自用电量等数据，并对数据的真实性及准确性负责。</w:t>
      </w:r>
    </w:p>
    <w:p w14:paraId="311053F7">
      <w:pPr>
        <w:pStyle w:val="5"/>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ascii="宋体" w:hAnsi="宋体"/>
          <w:spacing w:val="0"/>
        </w:rPr>
      </w:pPr>
      <w:r>
        <w:rPr>
          <w:rFonts w:hint="default" w:ascii="宋体" w:hAnsi="宋体" w:eastAsia="方正仿宋_GBK" w:cs="Times New Roman"/>
          <w:color w:val="auto"/>
          <w:spacing w:val="0"/>
          <w:sz w:val="32"/>
          <w:szCs w:val="32"/>
          <w:highlight w:val="none"/>
          <w:lang w:val="en-US" w:eastAsia="zh-CN"/>
        </w:rPr>
        <w:t>（</w:t>
      </w:r>
      <w:r>
        <w:rPr>
          <w:rFonts w:hint="eastAsia" w:ascii="宋体" w:hAnsi="宋体" w:eastAsia="方正仿宋_GBK" w:cs="Times New Roman"/>
          <w:color w:val="auto"/>
          <w:spacing w:val="0"/>
          <w:sz w:val="32"/>
          <w:szCs w:val="32"/>
          <w:highlight w:val="none"/>
          <w:lang w:val="en-US" w:eastAsia="zh-CN"/>
        </w:rPr>
        <w:t>四</w:t>
      </w:r>
      <w:r>
        <w:rPr>
          <w:rFonts w:hint="default" w:ascii="宋体" w:hAnsi="宋体" w:eastAsia="方正仿宋_GBK" w:cs="Times New Roman"/>
          <w:color w:val="auto"/>
          <w:spacing w:val="0"/>
          <w:sz w:val="32"/>
          <w:szCs w:val="32"/>
          <w:highlight w:val="none"/>
          <w:lang w:val="en-US" w:eastAsia="zh-CN"/>
        </w:rPr>
        <w:t>）若遇国家相关政策调整，从其最新规定执行。</w:t>
      </w:r>
    </w:p>
    <w:p w14:paraId="0780EE31">
      <w:pPr>
        <w:keepNext w:val="0"/>
        <w:keepLines w:val="0"/>
        <w:pageBreakBefore w:val="0"/>
        <w:widowControl/>
        <w:numPr>
          <w:ilvl w:val="0"/>
          <w:numId w:val="0"/>
        </w:numPr>
        <w:kinsoku/>
        <w:wordWrap/>
        <w:overflowPunct/>
        <w:topLinePunct w:val="0"/>
        <w:autoSpaceDE/>
        <w:autoSpaceDN/>
        <w:bidi w:val="0"/>
        <w:adjustRightInd/>
        <w:snapToGrid/>
        <w:spacing w:line="570" w:lineRule="exact"/>
        <w:ind w:leftChars="0" w:firstLine="640"/>
        <w:jc w:val="right"/>
        <w:textAlignment w:val="auto"/>
        <w:outlineLvl w:val="0"/>
        <w:rPr>
          <w:rFonts w:hint="eastAsia" w:ascii="宋体" w:hAnsi="宋体" w:eastAsia="方正仿宋_GBK" w:cs="Times New Roman"/>
          <w:sz w:val="32"/>
          <w:szCs w:val="40"/>
          <w:highlight w:val="none"/>
          <w:lang w:val="en-US" w:eastAsia="zh-CN"/>
        </w:rPr>
      </w:pPr>
    </w:p>
    <w:p w14:paraId="7A823315">
      <w:pPr>
        <w:keepNext w:val="0"/>
        <w:keepLines w:val="0"/>
        <w:pageBreakBefore w:val="0"/>
        <w:widowControl w:val="0"/>
        <w:kinsoku/>
        <w:wordWrap/>
        <w:overflowPunct/>
        <w:topLinePunct w:val="0"/>
        <w:autoSpaceDE/>
        <w:autoSpaceDN w:val="0"/>
        <w:bidi w:val="0"/>
        <w:adjustRightInd w:val="0"/>
        <w:snapToGrid/>
        <w:spacing w:beforeAutospacing="0" w:line="570" w:lineRule="exact"/>
        <w:ind w:left="0" w:leftChars="0" w:right="0" w:rightChars="0" w:firstLine="616" w:firstLineChars="200"/>
        <w:jc w:val="left"/>
        <w:textAlignment w:val="auto"/>
        <w:outlineLvl w:val="9"/>
        <w:rPr>
          <w:rFonts w:hint="eastAsia" w:ascii="宋体" w:hAnsi="宋体" w:eastAsia="仿宋_GB2312"/>
          <w:lang w:eastAsia="zh-CN"/>
        </w:rPr>
      </w:pPr>
      <w:r>
        <w:rPr>
          <w:sz w:val="32"/>
        </w:rPr>
        <w:drawing>
          <wp:anchor distT="0" distB="0" distL="114300" distR="114300" simplePos="0" relativeHeight="251660288" behindDoc="0" locked="0" layoutInCell="1" allowOverlap="1">
            <wp:simplePos x="0" y="0"/>
            <wp:positionH relativeFrom="page">
              <wp:posOffset>4600575</wp:posOffset>
            </wp:positionH>
            <wp:positionV relativeFrom="page">
              <wp:posOffset>9744710</wp:posOffset>
            </wp:positionV>
            <wp:extent cx="1800225" cy="575945"/>
            <wp:effectExtent l="0" t="0" r="13335" b="3175"/>
            <wp:wrapNone/>
            <wp:docPr id="1" name="图片 2" descr="wps"/>
            <wp:cNvGraphicFramePr/>
            <mc:AlternateContent>
              <mc:Choice Requires="wpsCustomData">
                <wpsCustomData:docBarcodeText>R0IwNjI2LTIwMDVeMDAwMDAwMDFe5LqR5Y2X55yB6IO95rqQ5bGAXuOAlDIwMjbjgJXigJQ0MjBe5Ye9XuWQhOacieWFs+WNleS9jV7kupHljZfnnIHog73mupDlsYDlhbPkuo7lkJHnpL7kvJrlhazlvIDlvoHmsYLkupHljZfnnIHnuqfnu7/or4HotKbmiLfnu7/or4HliIbphY3mlrnmoYjvvIjlhazlvIDlvoHmsYLmhI/op4HnqL/vvInmhI/op4HnmoTpgJrnn6VeXuWFrOaWh++8muaXoF4yMDI2MDMxN15e5LqR5Y2X55yB6IO95rqQ5bGAXjIwMjYwMzE4Xnw=</wpsCustomData:docBarcodeText>
              </mc:Choice>
            </mc:AlternateContent>
            <a:graphic xmlns:a="http://schemas.openxmlformats.org/drawingml/2006/main">
              <a:graphicData uri="http://schemas.openxmlformats.org/drawingml/2006/picture">
                <pic:pic xmlns:pic="http://schemas.openxmlformats.org/drawingml/2006/picture">
                  <pic:nvPicPr>
                    <pic:cNvPr id="1" name="图片 2" descr="wps"/>
                    <pic:cNvPicPr/>
                  </pic:nvPicPr>
                  <pic:blipFill>
                    <a:blip r:embed="rId7"/>
                    <a:stretch>
                      <a:fillRect/>
                    </a:stretch>
                  </pic:blipFill>
                  <pic:spPr>
                    <a:xfrm>
                      <a:off x="0" y="0"/>
                      <a:ext cx="1800225" cy="575945"/>
                    </a:xfrm>
                    <a:prstGeom prst="rect">
                      <a:avLst/>
                    </a:prstGeom>
                    <a:noFill/>
                    <a:ln>
                      <a:noFill/>
                    </a:ln>
                  </pic:spPr>
                </pic:pic>
              </a:graphicData>
            </a:graphic>
          </wp:anchor>
        </w:drawing>
      </w:r>
    </w:p>
    <w:p w14:paraId="54E3A672">
      <w:bookmarkStart w:id="0" w:name="_GoBack"/>
      <w:bookmarkEnd w:id="0"/>
    </w:p>
    <w:sectPr>
      <w:footerReference r:id="rId5" w:type="default"/>
      <w:pgSz w:w="11906" w:h="16838"/>
      <w:pgMar w:top="1701" w:right="1587" w:bottom="1440" w:left="1587" w:header="851" w:footer="1134" w:gutter="0"/>
      <w:pgNumType w:fmt="decimal" w:start="2"/>
      <w:cols w:space="720" w:num="1"/>
      <w:rtlGutter w:val="0"/>
      <w:docGrid w:type="lines"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8FC229-2CD3-4F77-AB33-C9A4D07BCA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51F7CEB-410F-4932-9FD1-B5C43AEF5966}"/>
  </w:font>
  <w:font w:name="仿宋_GB2312">
    <w:altName w:val="仿宋"/>
    <w:panose1 w:val="02010609030101010101"/>
    <w:charset w:val="86"/>
    <w:family w:val="auto"/>
    <w:pitch w:val="default"/>
    <w:sig w:usb0="00000000" w:usb1="00000000" w:usb2="00000000" w:usb3="00000000" w:csb0="00040000" w:csb1="00000000"/>
    <w:embedRegular r:id="rId3" w:fontKey="{13FAB848-30F8-4D58-9A4D-879A1186D583}"/>
  </w:font>
  <w:font w:name="方正黑体_GBK">
    <w:altName w:val="微软雅黑"/>
    <w:panose1 w:val="02000000000000000000"/>
    <w:charset w:val="86"/>
    <w:family w:val="auto"/>
    <w:pitch w:val="default"/>
    <w:sig w:usb0="00000000" w:usb1="00000000" w:usb2="00000000" w:usb3="00000000" w:csb0="00040000" w:csb1="00000000"/>
    <w:embedRegular r:id="rId4" w:fontKey="{1B982F2A-4599-409C-9045-B9400D175C08}"/>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5" w:fontKey="{8599543C-F32A-4F14-BC63-A3DC4C2980E8}"/>
  </w:font>
  <w:font w:name="仿宋">
    <w:panose1 w:val="02010609060101010101"/>
    <w:charset w:val="86"/>
    <w:family w:val="auto"/>
    <w:pitch w:val="default"/>
    <w:sig w:usb0="800002BF" w:usb1="38CF7CFA" w:usb2="00000016" w:usb3="00000000" w:csb0="00040001" w:csb1="00000000"/>
    <w:embedRegular r:id="rId6" w:fontKey="{E7B41432-52DD-4F5F-A83C-89154766C483}"/>
  </w:font>
  <w:font w:name="方正仿宋_GBK">
    <w:panose1 w:val="02000000000000000000"/>
    <w:charset w:val="86"/>
    <w:family w:val="auto"/>
    <w:pitch w:val="default"/>
    <w:sig w:usb0="A00002BF" w:usb1="38CF7CFA" w:usb2="00082016" w:usb3="00000000" w:csb0="00040001" w:csb1="00000000"/>
    <w:embedRegular r:id="rId7" w:fontKey="{B5C3768B-9B59-448B-84F8-9A7F6F8849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52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F4DC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B5F4DC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9A6DC"/>
    <w:multiLevelType w:val="singleLevel"/>
    <w:tmpl w:val="FFE9A6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52250"/>
    <w:rsid w:val="7C45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next w:val="3"/>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2026-03-18T04:45:00Z</dcterms:created>
  <dc:creator>企业用户_422078418</dc:creator>
  <cp:lastModifiedBy>企业用户_422078418</cp:lastModifiedBy>
  <dcterms:modified xsi:type="dcterms:W3CDTF">2026-03-18T04:46:53Z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7A3D20F801F2460F920438BB025CC3FB_11</vt:lpwstr>
  </property>
  <property fmtid="{D5CDD505-2E9C-101B-9397-08002B2CF9AE}" pid="4" name="KSOTemplateDocerSaveRecord">
    <vt:lpwstr>eyJoZGlkIjoiN2YzNjBkOTgyNWQ1YTMxYzM3MzMwNWFiODNmOWIzYWMiLCJ1c2VySWQiOiIxNjQ3MjE5MTc3In0=</vt:lpwstr>
  </property>
</Properties>
</file>