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9806">
      <w:pPr>
        <w:pStyle w:val="19"/>
        <w:widowControl/>
        <w:jc w:val="both"/>
        <w:rPr>
          <w:rFonts w:hint="eastAsia" w:eastAsia="仿宋_GB2312"/>
          <w:lang w:eastAsia="zh-CN"/>
        </w:rPr>
      </w:pPr>
      <w:bookmarkStart w:id="1" w:name="_GoBack"/>
      <w:bookmarkEnd w:id="1"/>
      <mc:AlternateContent>
        <mc:Choice Requires="wpsCustomData">
          <wpsCustomData:docfieldStart id="0" docfieldname="附件_1" hidden="0" print="1" readonly="0" index="1"/>
        </mc:Choice>
      </mc:AlternateContent>
      <w:bookmarkStart w:id="0" w:name="heading_5"/>
      <w:r>
        <w:t xml:space="preserve">附件 </w:t>
      </w:r>
      <w:r>
        <w:rPr>
          <w:rFonts w:hint="eastAsia"/>
          <w:lang w:val="en-US" w:eastAsia="zh-CN"/>
        </w:rPr>
        <w:t>2</w:t>
      </w:r>
    </w:p>
    <w:p w14:paraId="0848BD23">
      <w:pPr>
        <w:pStyle w:val="14"/>
        <w:bidi w:val="0"/>
      </w:pPr>
      <w:r>
        <w:t>云南省煤矿瓦斯防治重点工作任务清单</w:t>
      </w:r>
    </w:p>
    <w:tbl>
      <w:tblPr>
        <w:tblStyle w:val="15"/>
        <w:tblpPr w:leftFromText="180" w:rightFromText="180" w:vertAnchor="text" w:horzAnchor="page" w:tblpX="1952" w:tblpY="619"/>
        <w:tblOverlap w:val="never"/>
        <w:tblW w:w="1303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1"/>
        <w:gridCol w:w="2819"/>
        <w:gridCol w:w="5374"/>
        <w:gridCol w:w="2119"/>
        <w:gridCol w:w="2107"/>
      </w:tblGrid>
      <w:tr w14:paraId="134F29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9F64A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序号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BF48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重点任务分类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D032E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核心工作要求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A199A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责任主体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66861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完成时限</w:t>
            </w:r>
          </w:p>
        </w:tc>
      </w:tr>
      <w:tr w14:paraId="6C5EC2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DB3CC2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</w:t>
            </w: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9CBF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压实瓦斯防治责任与制度体系建设</w:t>
            </w:r>
          </w:p>
          <w:p w14:paraId="5AEBC39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72AA1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健全 “一矿一策、一面一策” 瓦斯治理专项制度，结合矿井瓦斯等级、地质条件、采掘布局完善瓦斯抽采、通风管理、监测监控、隐患排查、防突治理等制度，编制中长期瓦斯治理方案与年度实施计划，杜绝制度空转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D629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3E05AE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长期坚持，2026 年 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月底前完成制度修订完善</w:t>
            </w:r>
          </w:p>
        </w:tc>
      </w:tr>
      <w:tr w14:paraId="57241F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BE45E7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AB2E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D7BE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落实煤矿主要负责人瓦斯治理第一责任人职责，强化总工程师瓦斯治理技术总责，保障技术人员在灾害研判、方案审批、隐患处置等环节的技术决策权，逐级压实安全、生产、通风、机电等岗位瓦斯治理责任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3BEDD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BD6A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6 月底前完成责任体系梳理，长期坚持落实</w:t>
            </w:r>
          </w:p>
        </w:tc>
      </w:tr>
      <w:tr w14:paraId="20A5F5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38CFF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3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0D9D6F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D836D2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将瓦斯防治纳入企业常态化安全生产考核，建立督查追责机制，对制度不落实、隐患拒不整改的岗位及人员严肃内部追责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C61F5E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2FC3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6 月底前完成考核机制建立，长期坚持执行</w:t>
            </w:r>
          </w:p>
        </w:tc>
      </w:tr>
      <w:tr w14:paraId="0AC392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17827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4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7958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9AD32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完善 “一通三防” 管理制度、瓦斯 “零超限”“零突出” 目标管理制度，严格执行瓦斯超限停电撤人、原因分析、停产整改、责任追究四项措施，落实通风瓦斯日分析、突出预警处置、突出预兆报告制度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90D18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6FEB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6 月底前完成制度完善，长期坚持执行</w:t>
            </w:r>
          </w:p>
        </w:tc>
      </w:tr>
      <w:tr w14:paraId="7E5FFA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99886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5</w:t>
            </w: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9EC1C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精准完成瓦斯等级与突出危险性鉴定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93107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正常生产低瓦斯矿井 2026 年 6 月底前委托第三方重新完成瓦斯等级鉴定；在建矿井在联合试运转期间同步完成瓦斯等级鉴定，鉴定结果按层级复核、抽查备案，并依据鉴定结果精准落实设防等级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2D3D90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87128F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6 月底前（正常生产低瓦斯矿井）；联合试运转期间（在建矿井）</w:t>
            </w:r>
          </w:p>
        </w:tc>
      </w:tr>
      <w:tr w14:paraId="43B682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C30BC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6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E9DAF6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FF7E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高瓦斯矿井、出现顶钻 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 喷孔等动力现象的低瓦斯矿井、邻矿存在突出煤层的矿井等，2026 年 7 月底前完成突出危险性鉴定，规范鉴定流程，严禁违规选取鉴定巷道、测点，确保鉴定数据真实有效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1FBCC7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CEF29D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7 月底前</w:t>
            </w:r>
          </w:p>
        </w:tc>
      </w:tr>
      <w:tr w14:paraId="09BAE5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47B7D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7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3D4E5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F253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已完成突出危险性鉴定的矿井，严格在划定非突范围内组织采掘作业，超出范围或出现瓦斯动力现象的，立即重新开展鉴定工作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6A8E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全省各相关煤矿企业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7B9C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长期坚持，即时处置</w:t>
            </w:r>
          </w:p>
        </w:tc>
      </w:tr>
      <w:tr w14:paraId="0B3110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F95B6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8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8969D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67E5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严厉打击瓦斯等级鉴定、突出危险性鉴定、瓦斯参数测定、抽采达标评判等环节弄虚作假行为，一经发现立即停产整顿并从严追责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49C487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color w:val="000000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各级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煤矿主管部门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C205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长期坚持，常态化执法</w:t>
            </w:r>
          </w:p>
        </w:tc>
      </w:tr>
      <w:tr w14:paraId="6FE5D9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EF87B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9</w:t>
            </w: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58FF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优化采掘布局与瓦斯治理工程</w:t>
            </w:r>
          </w:p>
          <w:p w14:paraId="012013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4078D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升级为高瓦斯、突出矿井的煤矿，委托资质单位编制瓦斯抽采、防突专项设计，按属地及企业管理权限完成设计审查备案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95F08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全省各相关煤矿企业，各产煤州（市）、县（市、区）煤炭主管部门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E39C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瓦斯等级 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 突出危险性鉴定完成后 1 个月内</w:t>
            </w:r>
          </w:p>
        </w:tc>
      </w:tr>
      <w:tr w14:paraId="55EED5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D6C14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10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894B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0859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高瓦斯、突出矿井新水平、新采区主要巷道优先布置在岩层或无突出危险煤层，煤层群采用联合布置方式，推行分区通风，具备条件的采煤工作面采用 “Y” 型通风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CE5EC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全省各高瓦斯、突出煤矿企业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36CB51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长期坚持，新水平、新采区设计阶段同步落实</w:t>
            </w:r>
          </w:p>
        </w:tc>
      </w:tr>
      <w:tr w14:paraId="7CF90E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A23B1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11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A728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9C759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昭通、曲靖等重点区域煤矿按要求实施底（顶）板岩巷穿层预抽区域治理措施，未采取卸压、穿层预抽掩护的区域，严禁开展煤巷掘进作业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F32B6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昭通、曲靖等重点区域各煤矿企业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C9A0F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长期坚持，采掘作业前必须落实</w:t>
            </w:r>
          </w:p>
        </w:tc>
      </w:tr>
      <w:tr w14:paraId="421EBD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2A1A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12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77B97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2AE9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高瓦斯、突出矿井 2026 年 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 月底前配齐定向钻机、防喷孔装置、瓦斯快速测定仪等装备，突出矿井必须建成瓦斯参数测定实验室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436A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全省各高瓦斯、突出煤矿企业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F46F9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2026 年 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月底前</w:t>
            </w:r>
          </w:p>
        </w:tc>
      </w:tr>
      <w:tr w14:paraId="3E8716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B986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13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8B54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55C8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瓦斯抽采系统能力不达标的矿井，在瓦斯等级鉴定完成后 3 个月内完成系统改造，抽采泵站装机能力、单台泵流量必须满足规范要求，未完成改造的一律不予复工复产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B93AB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color w:val="000000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全省各相关煤矿企业，各级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煤矿主管部门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9923A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瓦斯等级鉴定完成后 3 个月内</w:t>
            </w:r>
          </w:p>
        </w:tc>
      </w:tr>
      <w:tr w14:paraId="10074F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5B2825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14</w:t>
            </w: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99385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强化地质保障与采掘作业管控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84713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所有煤矿配齐专职地质技术人员、地质副总工程师，配备不少于 2 台高清地质构造探测仪并正常投用，严格执行 “有掘必探” 制度，石门、煤巷掘进采用物探 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＋</w:t>
            </w: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 xml:space="preserve"> 钻探结合方式，落实压茬式边探边掘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6143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全省各煤矿企业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6365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6 月底前完成人员、装备配齐，长期坚持制度执行</w:t>
            </w:r>
          </w:p>
        </w:tc>
      </w:tr>
      <w:tr w14:paraId="6E7825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D2A49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15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9410B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9108EF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高瓦斯、突出矿井规范编制矿井瓦斯地质图、防突预测图，动态更新隐蔽致灾因素普查成果，地质条件不清、瓦斯参数不明的，严禁开展采掘作业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905A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全省各高瓦斯、突出煤矿企业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E918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6 月底前完成图件规范编制，长期坚持动态更新</w:t>
            </w:r>
          </w:p>
        </w:tc>
      </w:tr>
      <w:tr w14:paraId="79C8E5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4AD9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16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CB2A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7DC6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严格管控石门揭煤、巷道贯通、密闭启封、通风系统调整、井下动火等高风险作业，作业前编制专项安全措施并按规定报审，全程落实现场监护、专项管控要求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2287E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9F4B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长期坚持，高风险作业前必须落实</w:t>
            </w:r>
          </w:p>
        </w:tc>
      </w:tr>
      <w:tr w14:paraId="43F68D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29D45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17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95A8E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242FD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过地质构造带、断层等区域时强化顶板管理，施工超前卸压钻孔，落差超标断层地段采用远距离爆破掘进，参照石门揭煤标准落实防突措施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302C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F4132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长期坚持，作业前必须落实</w:t>
            </w:r>
          </w:p>
        </w:tc>
      </w:tr>
      <w:tr w14:paraId="18A85E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46EC0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18</w:t>
            </w: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959F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规范通风、监控及机电系统管理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CFB2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坚守通风优先原则，保障通风系统稳定、风量充足，严禁无风、微风、循环风作业，严禁擅自损毁、改动通风设施；高瓦斯、突出矿井以瓦斯抽采为主要治理手段，严禁依靠大风量稀释瓦斯掩盖灾害隐患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0563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2D82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长期坚持，常态化管控</w:t>
            </w:r>
          </w:p>
        </w:tc>
      </w:tr>
      <w:tr w14:paraId="20F02A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3BD3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19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95D3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08028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6 月底前完成全矿井甲烷传感器升级改造，采掘工作面更换为激光甲烷传感器，重点区域更换为全量程甲烷传感器，实现监控系统与应急广播、人员定位系统联动报警、断电撤人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FA6EC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70F8FF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6 月底前</w:t>
            </w:r>
          </w:p>
        </w:tc>
      </w:tr>
      <w:tr w14:paraId="14EB03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51CC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82429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FE984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常态化开展监控设备校验、检修，严禁篡改、屏蔽、关闭监控设备，严禁人为造成传感器失效、数据造假，确保监控数据真实、预警及时、断电闭锁可靠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077451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A32D4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长期坚持，常态化执行</w:t>
            </w:r>
          </w:p>
        </w:tc>
      </w:tr>
      <w:tr w14:paraId="6B4C9E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AB08A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21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9818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C8B716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所有生产、建设煤矿按时限建成双回路供电系统，机电设备保持防爆完好；雷击多发地区重点场所配电室防雷等级升级为第一类，杜绝停电停风引发瓦斯超限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D6A03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2F43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12 月底前完成双回路供电系统建设，长期坚持设备维护</w:t>
            </w:r>
          </w:p>
        </w:tc>
      </w:tr>
      <w:tr w14:paraId="09C078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E4580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22</w:t>
            </w: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A73A8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严抓现场作业与隐患闭环治理</w:t>
            </w:r>
          </w:p>
          <w:p w14:paraId="149122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F2C9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严格执行瓦斯检查定岗、定人、定时、定责制度，严查空班、漏检、假检、代检等违规行为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A172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46919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长期坚持，常态化执行</w:t>
            </w:r>
          </w:p>
        </w:tc>
      </w:tr>
      <w:tr w14:paraId="509E67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00C18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23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16958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D41C17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坚决整治瓦斯超限作业、超定员入井、违规爆破、违规动火等 “三违” 行为，无专项措施、无现场监护、无应急预案的高危作业一律禁止施工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74C37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煤矿企业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以及日常监管主体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3130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长期坚持，常态化管控</w:t>
            </w:r>
          </w:p>
        </w:tc>
      </w:tr>
      <w:tr w14:paraId="3EDA5D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830A2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24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C71E6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1506F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建立一般隐患、重大瓦斯隐患台账，落实整改责任人、措施、时限，实行清单化销号管理。排查出重大瓦斯隐患的，立即停产整改，验收合格后方可恢复生产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087F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color w:val="000000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全省各煤矿企业，各级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煤矿主管部门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8E3D9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长期坚持，即时排查、闭环整改</w:t>
            </w:r>
          </w:p>
        </w:tc>
      </w:tr>
      <w:tr w14:paraId="049D64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F217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25</w:t>
            </w: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D2AF9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深化监管执法与警示教育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E435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各级监管部门聚焦高瓦斯、突出矿井，采用 “四不两直”、明察暗访、突击夜查等方式开展常态化专项执法，重点核查制度执行、抽采达标、监控运行、隐患整改等内容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2359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color w:val="000000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各级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煤矿主管部门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7DAD9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长期坚持，常态化执法</w:t>
            </w:r>
          </w:p>
        </w:tc>
      </w:tr>
      <w:tr w14:paraId="44C49E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004FA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26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8D77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A04F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严厉打击隐蔽工作面、违法分包转包、入井人员瞒报、监控数据造假等违法违规行为，涉嫌犯罪的，依法移送司法机关追究刑事责任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40612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color w:val="000000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各级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煤矿主管部门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D50D1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长期坚持，常态化执法</w:t>
            </w:r>
          </w:p>
        </w:tc>
      </w:tr>
      <w:tr w14:paraId="533CC4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E420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27</w:t>
            </w:r>
          </w:p>
        </w:tc>
        <w:tc>
          <w:tcPr>
            <w:tcW w:w="2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1B06E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0E4A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组织开展瓦斯事故案例警示教育、防突措施、抽采治理、监控管理等专题宣讲，对灾害严重、技术薄弱的煤矿开展专家会诊，推广先进治理技术与经验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E90E9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color w:val="000000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各级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eastAsia="zh-CN"/>
              </w:rPr>
              <w:t>煤矿主管部门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19919C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2026 年 12 月底前完成全覆盖宣讲，长期坚持常态化培训</w:t>
            </w:r>
          </w:p>
        </w:tc>
      </w:tr>
      <w:bookmarkEnd w:id="0"/>
      <mc:AlternateContent>
        <mc:Choice Requires="wpsCustomData">
          <wpsCustomData:docfieldEnd id="0"/>
        </mc:Choice>
      </mc:AlternateContent>
    </w:tbl>
    <w:p w14:paraId="05F08160">
      <w:pPr>
        <w:pStyle w:val="11"/>
        <w:rPr>
          <w:rFonts w:ascii="宋体" w:hAnsi="宋体" w:eastAsia="方正仿宋_GBK" w:cs="Times New Roman"/>
          <w:sz w:val="32"/>
        </w:rPr>
      </w:pPr>
    </w:p>
    <w:sectPr>
      <w:headerReference r:id="rId3" w:type="default"/>
      <w:footerReference r:id="rId4" w:type="default"/>
      <w:pgSz w:w="16840" w:h="11905" w:orient="landscape"/>
      <w:pgMar w:top="1587" w:right="1962" w:bottom="1474" w:left="1848" w:header="851" w:footer="104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F65F">
    <w:pPr>
      <w:spacing w:line="471" w:lineRule="auto"/>
      <w:rPr>
        <w:rFonts w:hint="eastAsia" w:ascii="仿宋_GB2312" w:hAnsi="仿宋_GB2312" w:eastAsia="仿宋_GB2312" w:cs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A42F93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1625" tIns="0" rIns="201625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rBOMfTAAAABwEAAA8AAAAAAAAAAQAg&#10;AAAAIgAAAGRycy9kb3ducmV2LnhtbFBLAQIUABQAAAAIAIdO4kD+ZTkZ2gEAALADAAAOAAAAAAAA&#10;AAEAIAAAACIBAABkcnMvZTJvRG9jLnhtbFBLBQYAAAAABgAGAFkBAABuBQAAAAA=&#10;">
              <v:fill on="f" focussize="0,0"/>
              <v:stroke on="f" weight="1.2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35A42F93">
                    <w:pPr>
                      <w:pStyle w:val="12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D94AD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1CB8"/>
    <w:rsid w:val="227F52BA"/>
    <w:rsid w:val="4208304A"/>
    <w:rsid w:val="4EC24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方正楷体_GBK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方正仿宋_GBK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方正仿宋_GBK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方正仿宋_GBK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80" w:lineRule="exact"/>
      <w:ind w:firstLine="628" w:firstLineChars="200"/>
    </w:pPr>
    <w:rPr>
      <w:rFonts w:ascii="宋体" w:hAnsi="宋体" w:eastAsia="方正仿宋_GBK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qFormat/>
    <w:uiPriority w:val="0"/>
    <w:pPr>
      <w:spacing w:beforeLines="0" w:beforeAutospacing="0" w:afterLines="0" w:afterAutospacing="0" w:line="580" w:lineRule="exact"/>
      <w:jc w:val="center"/>
      <w:outlineLvl w:val="1"/>
    </w:pPr>
    <w:rPr>
      <w:rFonts w:ascii="楷体_GB2312" w:hAnsi="楷体_GB2312" w:eastAsia="方正楷体_GBK" w:cs="Times New Roman"/>
      <w:kern w:val="28"/>
      <w:sz w:val="32"/>
      <w:szCs w:val="32"/>
    </w:rPr>
  </w:style>
  <w:style w:type="paragraph" w:styleId="14">
    <w:name w:val="Title"/>
    <w:qFormat/>
    <w:uiPriority w:val="0"/>
    <w:pPr>
      <w:spacing w:line="640" w:lineRule="exact"/>
      <w:jc w:val="center"/>
      <w:outlineLvl w:val="0"/>
    </w:pPr>
    <w:rPr>
      <w:rFonts w:ascii="宋体" w:hAnsi="宋体" w:eastAsia="方正小标宋_GBK" w:cs="Times New Roman"/>
      <w:sz w:val="44"/>
      <w:szCs w:val="44"/>
    </w:rPr>
  </w:style>
  <w:style w:type="paragraph" w:customStyle="1" w:styleId="17">
    <w:name w:val="主送对象"/>
    <w:next w:val="1"/>
    <w:qFormat/>
    <w:uiPriority w:val="0"/>
    <w:pPr>
      <w:spacing w:line="560" w:lineRule="exact"/>
    </w:pPr>
    <w:rPr>
      <w:rFonts w:ascii="仿宋_GB2312" w:hAnsi="仿宋_GB2312" w:eastAsia="方正仿宋_GBK" w:cs="Times New Roman"/>
      <w:sz w:val="32"/>
      <w:szCs w:val="32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paragraph" w:customStyle="1" w:styleId="19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Times New Roman"/>
      <w:spacing w:val="-6"/>
      <w:kern w:val="0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楷体_GB2312" w:hAnsi="楷体_GB2312" w:eastAsia="方正楷体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4198</Words>
  <Characters>4287</Characters>
  <TotalTime>1</TotalTime>
  <ScaleCrop>false</ScaleCrop>
  <LinksUpToDate>false</LinksUpToDate>
  <CharactersWithSpaces>4416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2026-06-09T01:29:00Z</dcterms:created>
  <dc:creator>Apache POI</dc:creator>
  <cp:lastModifiedBy>王昕</cp:lastModifiedBy>
  <dcterms:modified xsi:type="dcterms:W3CDTF">2026-06-09T02:13:00Z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{"Label":"1","ContentProducer":"001191110102MACQD9K64010000","ProduceID":"7649201808611757005","ReservedCode1":"","ContentPropagator":"","PropagateID":"","ReservedCode2":""}</vt:lpwstr>
  </property>
  <property fmtid="{D5CDD505-2E9C-101B-9397-08002B2CF9AE}" pid="3" name="KSOTemplateDocerSaveRecord">
    <vt:lpwstr>eyJoZGlkIjoiN2ZiNGM0N2YwZDVlNGNjMmU1MDc0OTJkZWJkZWM4ODAiLCJ1c2VySWQiOiIxNTEyNjUwMTYzIn0=</vt:lpwstr>
  </property>
  <property fmtid="{D5CDD505-2E9C-101B-9397-08002B2CF9AE}" pid="4" name="KSOProductBuildVer">
    <vt:lpwstr>2052-12.1.0.26895</vt:lpwstr>
  </property>
  <property fmtid="{D5CDD505-2E9C-101B-9397-08002B2CF9AE}" pid="5" name="ICV">
    <vt:lpwstr>F024288E270B40F4B78B636A3D85E0F4_13</vt:lpwstr>
  </property>
</Properties>
</file>