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5C4D6">
      <w:pPr>
        <w:keepNext w:val="0"/>
        <w:keepLines w:val="0"/>
        <w:pageBreakBefore w:val="0"/>
        <w:widowControl w:val="0"/>
        <w:tabs>
          <w:tab w:val="left" w:pos="885"/>
        </w:tabs>
        <w:kinsoku/>
        <w:wordWrap/>
        <w:overflowPunct/>
        <w:topLinePunct w:val="0"/>
        <w:autoSpaceDE/>
        <w:autoSpaceDN/>
        <w:bidi w:val="0"/>
        <w:adjustRightInd/>
        <w:snapToGrid/>
        <w:spacing w:line="600" w:lineRule="exact"/>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云南省能源局关于优化新能源项目全容量</w:t>
      </w:r>
    </w:p>
    <w:p w14:paraId="638A0469">
      <w:pPr>
        <w:keepNext w:val="0"/>
        <w:keepLines w:val="0"/>
        <w:pageBreakBefore w:val="0"/>
        <w:widowControl w:val="0"/>
        <w:tabs>
          <w:tab w:val="left" w:pos="885"/>
        </w:tabs>
        <w:kinsoku/>
        <w:wordWrap/>
        <w:overflowPunct/>
        <w:topLinePunct w:val="0"/>
        <w:autoSpaceDE/>
        <w:autoSpaceDN/>
        <w:bidi w:val="0"/>
        <w:adjustRightInd/>
        <w:snapToGrid/>
        <w:spacing w:line="600" w:lineRule="exact"/>
        <w:jc w:val="center"/>
        <w:textAlignment w:val="auto"/>
        <w:rPr>
          <w:rFonts w:hint="eastAsia" w:ascii="宋体" w:hAnsi="宋体" w:eastAsia="方正小标宋_GBK" w:cs="方正小标宋_GBK"/>
          <w:sz w:val="32"/>
          <w:szCs w:val="32"/>
          <w:lang w:val="en-US" w:eastAsia="zh-CN"/>
        </w:rPr>
      </w:pPr>
      <w:r>
        <w:rPr>
          <w:rFonts w:hint="eastAsia" w:ascii="宋体" w:hAnsi="宋体" w:eastAsia="方正小标宋_GBK" w:cs="方正小标宋_GBK"/>
          <w:sz w:val="44"/>
          <w:szCs w:val="44"/>
          <w:lang w:val="en-US" w:eastAsia="zh-CN"/>
        </w:rPr>
        <w:t>并网事宜的通知</w:t>
      </w:r>
    </w:p>
    <w:p w14:paraId="0278F3D6">
      <w:pPr>
        <w:keepNext w:val="0"/>
        <w:keepLines w:val="0"/>
        <w:pageBreakBefore w:val="0"/>
        <w:widowControl w:val="0"/>
        <w:tabs>
          <w:tab w:val="left" w:pos="885"/>
        </w:tabs>
        <w:kinsoku/>
        <w:wordWrap/>
        <w:overflowPunct/>
        <w:topLinePunct w:val="0"/>
        <w:autoSpaceDE/>
        <w:autoSpaceDN/>
        <w:bidi w:val="0"/>
        <w:adjustRightInd/>
        <w:snapToGrid/>
        <w:spacing w:line="300" w:lineRule="exact"/>
        <w:textAlignment w:val="auto"/>
        <w:rPr>
          <w:rFonts w:hint="eastAsia" w:ascii="宋体" w:hAnsi="宋体" w:eastAsia="方正仿宋_GBK" w:cs="方正仿宋_GBK"/>
          <w:sz w:val="32"/>
          <w:szCs w:val="32"/>
          <w:lang w:val="en-US" w:eastAsia="zh-CN"/>
        </w:rPr>
      </w:pPr>
    </w:p>
    <w:p w14:paraId="5A175106">
      <w:pPr>
        <w:keepNext w:val="0"/>
        <w:keepLines w:val="0"/>
        <w:pageBreakBefore w:val="0"/>
        <w:widowControl w:val="0"/>
        <w:tabs>
          <w:tab w:val="left" w:pos="885"/>
        </w:tabs>
        <w:kinsoku/>
        <w:wordWrap/>
        <w:overflowPunct/>
        <w:topLinePunct w:val="0"/>
        <w:autoSpaceDE/>
        <w:autoSpaceDN/>
        <w:bidi w:val="0"/>
        <w:adjustRightInd/>
        <w:snapToGrid/>
        <w:spacing w:line="552" w:lineRule="exact"/>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各州（市）能源行业主管部门，云南电网公司、昆明电力交易中心、有关发电企业：</w:t>
      </w:r>
    </w:p>
    <w:p w14:paraId="602A6605">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为强力落实“项目攻坚年”安排要求，持续推动新能源高质量发展，加快新能源项目开发建设，支撑“十五五”良好开局，</w:t>
      </w:r>
      <w:r>
        <w:rPr>
          <w:rFonts w:hint="default" w:ascii="宋体" w:hAnsi="宋体" w:eastAsia="方正仿宋_GBK" w:cs="Times New Roman"/>
          <w:sz w:val="32"/>
          <w:szCs w:val="32"/>
          <w:lang w:val="en-US" w:eastAsia="zh-CN"/>
        </w:rPr>
        <w:t>现将新能源项目</w:t>
      </w:r>
      <w:r>
        <w:rPr>
          <w:rFonts w:hint="eastAsia" w:ascii="宋体" w:hAnsi="宋体" w:eastAsia="方正仿宋_GBK" w:cs="Times New Roman"/>
          <w:sz w:val="32"/>
          <w:szCs w:val="32"/>
          <w:lang w:val="en-US" w:eastAsia="zh-CN"/>
        </w:rPr>
        <w:t>全容量并网优化调整</w:t>
      </w:r>
      <w:r>
        <w:rPr>
          <w:rFonts w:hint="default" w:ascii="宋体" w:hAnsi="宋体" w:eastAsia="方正仿宋_GBK" w:cs="Times New Roman"/>
          <w:sz w:val="32"/>
          <w:szCs w:val="32"/>
          <w:lang w:val="en-US" w:eastAsia="zh-CN"/>
        </w:rPr>
        <w:t>有关事项通知如下：</w:t>
      </w:r>
    </w:p>
    <w:p w14:paraId="36494762">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黑体_GBK" w:cs="方正黑体_GBK"/>
          <w:sz w:val="32"/>
          <w:szCs w:val="32"/>
          <w:lang w:eastAsia="zh-CN"/>
        </w:rPr>
      </w:pPr>
      <w:r>
        <w:rPr>
          <w:rFonts w:hint="eastAsia" w:ascii="宋体" w:hAnsi="宋体" w:eastAsia="方正黑体_GBK" w:cs="方正黑体_GBK"/>
          <w:sz w:val="32"/>
          <w:szCs w:val="32"/>
          <w:lang w:eastAsia="zh-CN"/>
        </w:rPr>
        <w:t>一、确认原则</w:t>
      </w:r>
    </w:p>
    <w:p w14:paraId="59080F35">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楷体_GBK" w:cs="国标楷体-GB/T 2312"/>
          <w:sz w:val="32"/>
          <w:szCs w:val="32"/>
          <w:lang w:eastAsia="zh-CN"/>
        </w:rPr>
      </w:pPr>
      <w:r>
        <w:rPr>
          <w:rFonts w:hint="eastAsia" w:ascii="宋体" w:hAnsi="宋体" w:eastAsia="方正楷体_GBK" w:cs="国标楷体-GB/T 2312"/>
          <w:sz w:val="32"/>
          <w:szCs w:val="32"/>
          <w:lang w:eastAsia="zh-CN"/>
        </w:rPr>
        <w:t>（一）全容量并网时间</w:t>
      </w:r>
    </w:p>
    <w:p w14:paraId="2DA38B9E">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1.存量项目：集中式新能源存量项目以云南省能源局发布的全容量并网时间认定清单为准；分布式新能源项目以各州（市）能源主管部门发布的存量项目全容量并网时间为准。</w:t>
      </w:r>
    </w:p>
    <w:p w14:paraId="343F216B">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2.增量项目：2025年6月1日起全容量并网的集中式新能源项目，</w:t>
      </w:r>
      <w:r>
        <w:rPr>
          <w:rFonts w:hint="eastAsia" w:ascii="宋体" w:hAnsi="宋体" w:eastAsia="方正仿宋_GBK" w:cs="方正仿宋_GBK"/>
          <w:sz w:val="32"/>
          <w:szCs w:val="32"/>
          <w:highlight w:val="none"/>
          <w:lang w:val="en-US" w:eastAsia="zh-CN"/>
        </w:rPr>
        <w:t>以取得发电业务许可证登记容量达到核准（备案）容量或核准（备案）变更后容量的最后一台机组并网时间、末批次（或全容量）电力建设工程并网意见书时间、最后一台投产的光伏逆变器（风电机组）</w:t>
      </w:r>
      <w:r>
        <w:rPr>
          <w:rFonts w:hint="eastAsia" w:ascii="宋体" w:hAnsi="宋体" w:eastAsia="方正仿宋_GBK" w:cs="方正仿宋_GBK"/>
          <w:color w:val="auto"/>
          <w:sz w:val="32"/>
          <w:szCs w:val="32"/>
          <w:highlight w:val="none"/>
          <w:lang w:val="en-US" w:eastAsia="zh-CN"/>
        </w:rPr>
        <w:t>现场投运操作票执行完成时间三者中的最晚时间</w:t>
      </w:r>
      <w:r>
        <w:rPr>
          <w:rFonts w:hint="eastAsia" w:ascii="宋体" w:hAnsi="宋体" w:eastAsia="方正仿宋_GBK" w:cs="方正仿宋_GBK"/>
          <w:sz w:val="32"/>
          <w:szCs w:val="32"/>
          <w:highlight w:val="none"/>
          <w:lang w:val="en-US" w:eastAsia="zh-CN"/>
        </w:rPr>
        <w:t>作为项目的全容量并网时间。</w:t>
      </w:r>
      <w:r>
        <w:rPr>
          <w:rFonts w:hint="eastAsia" w:ascii="宋体" w:hAnsi="宋体" w:eastAsia="方正仿宋_GBK" w:cs="方正仿宋_GBK"/>
          <w:sz w:val="32"/>
          <w:szCs w:val="32"/>
          <w:lang w:val="en-US" w:eastAsia="zh-CN"/>
        </w:rPr>
        <w:t>2025年6月1日起并网的分布式新能源项目，并网时间为电网企业购电结算系统中项目所属购电户的并网日期。</w:t>
      </w:r>
    </w:p>
    <w:p w14:paraId="067DD400">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楷体_GBK" w:cs="国标楷体-GB/T 2312"/>
          <w:sz w:val="32"/>
          <w:szCs w:val="32"/>
          <w:lang w:eastAsia="zh-CN"/>
        </w:rPr>
      </w:pPr>
      <w:r>
        <w:rPr>
          <w:rFonts w:hint="eastAsia" w:ascii="宋体" w:hAnsi="宋体" w:eastAsia="方正楷体_GBK" w:cs="国标楷体-GB/T 2312"/>
          <w:sz w:val="32"/>
          <w:szCs w:val="32"/>
          <w:lang w:eastAsia="zh-CN"/>
        </w:rPr>
        <w:t>（二）确认材料</w:t>
      </w:r>
    </w:p>
    <w:p w14:paraId="414E3868">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1.申请全容量并网确认的集中式新能源发电项目，提供下列材料：</w:t>
      </w:r>
    </w:p>
    <w:p w14:paraId="3BD42CD0">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color w:val="auto"/>
          <w:sz w:val="32"/>
          <w:szCs w:val="32"/>
          <w:highlight w:val="none"/>
          <w:lang w:val="en-US" w:eastAsia="zh-CN"/>
        </w:rPr>
        <w:t>（1）发电项目的电力业务许可证；</w:t>
      </w:r>
    </w:p>
    <w:p w14:paraId="1E2110D4">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（2）</w:t>
      </w:r>
      <w:r>
        <w:rPr>
          <w:rFonts w:hint="eastAsia" w:ascii="宋体" w:hAnsi="宋体" w:eastAsia="方正仿宋_GBK" w:cs="方正仿宋_GBK"/>
          <w:color w:val="auto"/>
          <w:sz w:val="32"/>
          <w:szCs w:val="32"/>
          <w:lang w:val="en-US" w:eastAsia="zh-CN"/>
        </w:rPr>
        <w:t>纳入国家电力工程质量监督机构名录的机构出具的电力建设工程并网意见书；</w:t>
      </w:r>
    </w:p>
    <w:p w14:paraId="2FD3C17E">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color w:val="auto"/>
          <w:sz w:val="32"/>
          <w:szCs w:val="32"/>
          <w:lang w:val="en-US" w:eastAsia="zh-CN"/>
        </w:rPr>
        <w:t>（3）</w:t>
      </w:r>
      <w:r>
        <w:rPr>
          <w:rFonts w:hint="eastAsia" w:ascii="宋体" w:hAnsi="宋体" w:eastAsia="方正仿宋_GBK" w:cs="方正仿宋_GBK"/>
          <w:sz w:val="32"/>
          <w:szCs w:val="32"/>
          <w:lang w:val="en-US" w:eastAsia="zh-CN"/>
        </w:rPr>
        <w:t>发电项目通过竣工验收的证明材料；尚未组织竣工验收的，提供发电机组通过启动验收的证明材料；</w:t>
      </w:r>
    </w:p>
    <w:p w14:paraId="45B0F6AA">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（4）新能源项目业主关于发电项目最后一台投运的</w:t>
      </w:r>
      <w:r>
        <w:rPr>
          <w:rFonts w:hint="eastAsia" w:ascii="宋体" w:hAnsi="宋体" w:eastAsia="方正仿宋_GBK" w:cs="方正仿宋_GBK"/>
          <w:color w:val="auto"/>
          <w:sz w:val="32"/>
          <w:szCs w:val="32"/>
        </w:rPr>
        <w:t>光伏逆变器</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风电机组</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lang w:val="en-US" w:eastAsia="zh-CN"/>
        </w:rPr>
        <w:t>的</w:t>
      </w:r>
      <w:r>
        <w:rPr>
          <w:rFonts w:hint="eastAsia" w:ascii="宋体" w:hAnsi="宋体" w:eastAsia="方正仿宋_GBK" w:cs="方正仿宋_GBK"/>
          <w:color w:val="auto"/>
          <w:sz w:val="32"/>
          <w:szCs w:val="32"/>
          <w:highlight w:val="none"/>
          <w:lang w:val="en-US" w:eastAsia="zh-CN"/>
        </w:rPr>
        <w:t>现场投运操作票扫描件；</w:t>
      </w:r>
    </w:p>
    <w:p w14:paraId="683B33CA">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（5）项目业主及其省级发电集团（公司）提交的项目全容量并网承诺函（具体格式见附件）。</w:t>
      </w:r>
    </w:p>
    <w:p w14:paraId="735B01C9">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宋体" w:hAnsi="宋体" w:eastAsia="方正仿宋_GBK" w:cs="方正仿宋_GBK"/>
          <w:color w:val="FF0000"/>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2.申请全容量并网确认的分布式新能源发电项目，由各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电网企业提供相应材料。</w:t>
      </w:r>
    </w:p>
    <w:p w14:paraId="0246A1CA">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黑体_GBK" w:cs="方正黑体_GBK"/>
          <w:color w:val="auto"/>
          <w:sz w:val="32"/>
          <w:szCs w:val="32"/>
          <w:lang w:eastAsia="zh-CN"/>
        </w:rPr>
      </w:pPr>
      <w:r>
        <w:rPr>
          <w:rFonts w:hint="eastAsia" w:ascii="宋体" w:hAnsi="宋体" w:eastAsia="方正黑体_GBK" w:cs="方正黑体_GBK"/>
          <w:color w:val="auto"/>
          <w:sz w:val="32"/>
          <w:szCs w:val="32"/>
          <w:lang w:eastAsia="zh-CN"/>
        </w:rPr>
        <w:t>二、工作机制</w:t>
      </w:r>
    </w:p>
    <w:p w14:paraId="72D51357">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楷体_GBK" w:cs="国标楷体-GB/T 2312"/>
          <w:color w:val="auto"/>
          <w:sz w:val="32"/>
          <w:szCs w:val="32"/>
          <w:lang w:eastAsia="zh-CN"/>
        </w:rPr>
        <w:t>（一）工作职责</w:t>
      </w:r>
    </w:p>
    <w:p w14:paraId="3557996E">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新能源项目业主：负责按本通知的工作要求，</w:t>
      </w:r>
      <w:r>
        <w:rPr>
          <w:rFonts w:hint="eastAsia" w:ascii="宋体" w:hAnsi="宋体" w:eastAsia="方正仿宋_GBK" w:cs="方正仿宋_GBK"/>
          <w:color w:val="auto"/>
          <w:sz w:val="32"/>
          <w:szCs w:val="32"/>
          <w:highlight w:val="none"/>
          <w:lang w:val="en-US" w:eastAsia="zh-CN"/>
        </w:rPr>
        <w:t>根据确认材料清单准备相关材料并报送云南电网公司，新能源项目业主应确保报送材料的真实性、准确性和有效性，如出现因材料真实性问题而产生的一切后果，由项目业主承担。</w:t>
      </w:r>
    </w:p>
    <w:p w14:paraId="5CA13538">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云南电网公司：负责收集集中式新能源业主根据本通知要求报送的确认材料，整理并汇总形成项目清单提交云南省能源局。</w:t>
      </w:r>
    </w:p>
    <w:p w14:paraId="1B9AE421">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FF0000"/>
          <w:sz w:val="32"/>
          <w:szCs w:val="32"/>
          <w:lang w:val="en-US" w:eastAsia="zh-CN"/>
        </w:rPr>
      </w:pPr>
      <w:r>
        <w:rPr>
          <w:rFonts w:hint="eastAsia" w:ascii="宋体" w:hAnsi="宋体" w:eastAsia="方正仿宋_GBK" w:cs="方正仿宋_GBK"/>
          <w:color w:val="auto"/>
          <w:sz w:val="32"/>
          <w:szCs w:val="32"/>
          <w:highlight w:val="none"/>
          <w:lang w:val="en-US" w:eastAsia="zh-CN"/>
        </w:rPr>
        <w:t>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电网企业：负责根据本通知要求，向各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能源主管部门提交</w:t>
      </w:r>
      <w:r>
        <w:rPr>
          <w:rFonts w:hint="eastAsia" w:ascii="宋体" w:hAnsi="宋体" w:eastAsia="仿宋"/>
          <w:color w:val="auto"/>
          <w:sz w:val="32"/>
          <w:szCs w:val="32"/>
          <w:highlight w:val="none"/>
          <w:lang w:val="en-US" w:eastAsia="zh-CN"/>
        </w:rPr>
        <w:t>分布式新能源项目所属各并网点对应并网时间等确认材料及项目清单。</w:t>
      </w:r>
    </w:p>
    <w:p w14:paraId="1A32BE31">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default" w:ascii="宋体" w:hAnsi="宋体" w:eastAsia="方正仿宋_GBK" w:cs="方正仿宋_GBK"/>
          <w:color w:val="auto"/>
          <w:sz w:val="32"/>
          <w:szCs w:val="32"/>
          <w:highlight w:val="none"/>
          <w:lang w:val="en-US" w:eastAsia="zh-CN"/>
        </w:rPr>
      </w:pPr>
      <w:r>
        <w:rPr>
          <w:rFonts w:hint="eastAsia" w:ascii="宋体" w:hAnsi="宋体" w:eastAsia="方正仿宋_GBK" w:cs="方正仿宋_GBK"/>
          <w:color w:val="auto"/>
          <w:sz w:val="32"/>
          <w:szCs w:val="32"/>
          <w:highlight w:val="none"/>
          <w:lang w:val="en-US" w:eastAsia="zh-CN"/>
        </w:rPr>
        <w:t>云南省能源局：负责根据云南电网公司提交的集中式新能源项目并网时间确认材料，定期发布集中式新能源项目全容量并网时间清单。</w:t>
      </w:r>
    </w:p>
    <w:p w14:paraId="5C4F5FAF">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FF0000"/>
          <w:sz w:val="32"/>
          <w:szCs w:val="32"/>
          <w:lang w:val="en-US" w:eastAsia="zh-CN"/>
        </w:rPr>
      </w:pPr>
      <w:r>
        <w:rPr>
          <w:rFonts w:hint="eastAsia" w:ascii="宋体" w:hAnsi="宋体" w:eastAsia="方正仿宋_GBK" w:cs="方正仿宋_GBK"/>
          <w:color w:val="auto"/>
          <w:sz w:val="32"/>
          <w:szCs w:val="32"/>
          <w:highlight w:val="none"/>
          <w:lang w:val="en-US" w:eastAsia="zh-CN"/>
        </w:rPr>
        <w:t>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能源主管部门：负责根据各地区电网企业提交的分布式新能源项目的确认材料，定期发布分布式新能源项目全容量并网时间清单。</w:t>
      </w:r>
    </w:p>
    <w:p w14:paraId="549D0379">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楷体_GBK" w:cs="国标楷体-GB/T 2312"/>
          <w:color w:val="auto"/>
          <w:sz w:val="32"/>
          <w:szCs w:val="32"/>
          <w:lang w:eastAsia="zh-CN"/>
        </w:rPr>
        <w:t>（二）工作流程</w:t>
      </w:r>
    </w:p>
    <w:p w14:paraId="5DF440EE">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集中式新能源项目：</w:t>
      </w:r>
      <w:r>
        <w:rPr>
          <w:rFonts w:hint="eastAsia" w:ascii="宋体" w:hAnsi="宋体" w:eastAsia="方正仿宋_GBK" w:cs="方正仿宋_GBK"/>
          <w:color w:val="auto"/>
          <w:sz w:val="32"/>
          <w:szCs w:val="32"/>
          <w:highlight w:val="none"/>
          <w:lang w:val="en-US" w:eastAsia="zh-CN"/>
        </w:rPr>
        <w:t>项目全容量并网后，由集中式新能源项目业主按照本通知要求向云南电网公司提交全容量并网时间确认资料</w:t>
      </w:r>
      <w:r>
        <w:rPr>
          <w:rFonts w:hint="eastAsia" w:ascii="宋体" w:hAnsi="宋体" w:eastAsia="方正仿宋_GBK" w:cs="方正仿宋_GBK"/>
          <w:color w:val="auto"/>
          <w:sz w:val="32"/>
          <w:szCs w:val="32"/>
          <w:lang w:val="en-US" w:eastAsia="zh-CN"/>
        </w:rPr>
        <w:t>。云南电网公司按照本通知要求，整理汇总形成集中式新能源项目全容量并网时间确认材料形成项目清单，提交云南省能源局。云南省能源局根据确认资料及项目清单，定期发布集中式新能源项目全容量并网时间清单。</w:t>
      </w:r>
    </w:p>
    <w:p w14:paraId="4683B416">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00B0F0"/>
          <w:sz w:val="32"/>
          <w:szCs w:val="32"/>
          <w:lang w:val="en-US" w:eastAsia="zh-CN"/>
        </w:rPr>
      </w:pPr>
      <w:r>
        <w:rPr>
          <w:rFonts w:hint="eastAsia" w:ascii="宋体" w:hAnsi="宋体" w:eastAsia="方正仿宋_GBK" w:cs="方正仿宋_GBK"/>
          <w:color w:val="auto"/>
          <w:sz w:val="32"/>
          <w:szCs w:val="32"/>
          <w:highlight w:val="none"/>
          <w:lang w:val="en-US" w:eastAsia="zh-CN"/>
        </w:rPr>
        <w:t>分布式新能源项目：各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电网企业按本通知要求定期向</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能源主管部门提交分布式新能源项目清单及</w:t>
      </w:r>
      <w:r>
        <w:rPr>
          <w:rFonts w:hint="eastAsia" w:ascii="宋体" w:hAnsi="宋体" w:eastAsia="仿宋"/>
          <w:color w:val="auto"/>
          <w:sz w:val="32"/>
          <w:szCs w:val="32"/>
          <w:highlight w:val="none"/>
          <w:lang w:val="en-US" w:eastAsia="zh-CN"/>
        </w:rPr>
        <w:t>所属各并网点对应并网时间等相关信息。</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能源主管部门根据</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highlight w:val="none"/>
          <w:lang w:val="en-US" w:eastAsia="zh-CN"/>
        </w:rPr>
        <w:t>电网企业提供的分布式新能源项目并网材料及项目清单定期发布。</w:t>
      </w:r>
      <w:r>
        <w:rPr>
          <w:rFonts w:hint="eastAsia" w:ascii="宋体" w:hAnsi="宋体" w:eastAsia="仿宋"/>
          <w:b w:val="0"/>
          <w:bCs w:val="0"/>
          <w:color w:val="auto"/>
          <w:sz w:val="32"/>
          <w:szCs w:val="32"/>
          <w:highlight w:val="none"/>
          <w:lang w:val="en-US" w:eastAsia="zh-CN"/>
        </w:rPr>
        <w:t>清单内容应包括购电户号、户名、项目名称、项目</w:t>
      </w:r>
      <w:r>
        <w:rPr>
          <w:rFonts w:hint="eastAsia" w:ascii="宋体" w:hAnsi="宋体" w:eastAsia="仿宋" w:cs="仿宋"/>
          <w:b w:val="0"/>
          <w:bCs w:val="0"/>
          <w:color w:val="auto"/>
          <w:spacing w:val="-3"/>
          <w:kern w:val="2"/>
          <w:sz w:val="32"/>
          <w:szCs w:val="32"/>
          <w:highlight w:val="none"/>
          <w:lang w:val="en-US" w:eastAsia="zh-CN"/>
        </w:rPr>
        <w:t>备案证编号、并网容量、并网时间等信息。</w:t>
      </w:r>
    </w:p>
    <w:p w14:paraId="3271683D">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楷体_GBK" w:cs="国标楷体-GB/T 2312"/>
          <w:color w:val="auto"/>
          <w:sz w:val="32"/>
          <w:szCs w:val="32"/>
          <w:lang w:eastAsia="zh-CN"/>
        </w:rPr>
        <w:t>（三）公示</w:t>
      </w:r>
    </w:p>
    <w:p w14:paraId="01F7FC8F">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color w:val="auto"/>
          <w:sz w:val="32"/>
          <w:szCs w:val="32"/>
          <w:lang w:val="en-US" w:eastAsia="zh-CN"/>
        </w:rPr>
      </w:pPr>
      <w:r>
        <w:rPr>
          <w:rFonts w:hint="eastAsia" w:ascii="宋体" w:hAnsi="宋体" w:eastAsia="方正仿宋_GBK" w:cs="方正仿宋_GBK"/>
          <w:color w:val="auto"/>
          <w:sz w:val="32"/>
          <w:szCs w:val="32"/>
          <w:lang w:val="en-US" w:eastAsia="zh-CN"/>
        </w:rPr>
        <w:t>云南省能源局根据本通知要求，定期发布集中式新能源项目全容量并网时间清单，并进行公示，对公示结果有异议的项目业主可在公示期内向省能源局反映。分布式新能源项目由各</w:t>
      </w:r>
      <w:r>
        <w:rPr>
          <w:rFonts w:hint="eastAsia" w:ascii="宋体" w:hAnsi="宋体" w:eastAsia="方正仿宋_GBK" w:cs="方正仿宋_GBK"/>
          <w:sz w:val="32"/>
          <w:szCs w:val="32"/>
          <w:lang w:val="en-US" w:eastAsia="zh-CN"/>
        </w:rPr>
        <w:t>州（市）</w:t>
      </w:r>
      <w:r>
        <w:rPr>
          <w:rFonts w:hint="eastAsia" w:ascii="宋体" w:hAnsi="宋体" w:eastAsia="方正仿宋_GBK" w:cs="方正仿宋_GBK"/>
          <w:color w:val="auto"/>
          <w:sz w:val="32"/>
          <w:szCs w:val="32"/>
          <w:lang w:val="en-US" w:eastAsia="zh-CN"/>
        </w:rPr>
        <w:t>能源主管部门公示。</w:t>
      </w:r>
    </w:p>
    <w:p w14:paraId="7E0C27DD">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黑体_GBK" w:cs="方正黑体_GBK"/>
          <w:sz w:val="32"/>
          <w:szCs w:val="32"/>
          <w:lang w:eastAsia="zh-CN"/>
        </w:rPr>
      </w:pPr>
      <w:r>
        <w:rPr>
          <w:rFonts w:hint="eastAsia" w:ascii="宋体" w:hAnsi="宋体" w:eastAsia="方正黑体_GBK" w:cs="方正黑体_GBK"/>
          <w:color w:val="auto"/>
          <w:sz w:val="32"/>
          <w:szCs w:val="32"/>
          <w:lang w:eastAsia="zh-CN"/>
        </w:rPr>
        <w:t>三、</w:t>
      </w:r>
      <w:r>
        <w:rPr>
          <w:rFonts w:hint="eastAsia" w:ascii="宋体" w:hAnsi="宋体" w:eastAsia="方正黑体_GBK" w:cs="方正黑体_GBK"/>
          <w:sz w:val="32"/>
          <w:szCs w:val="32"/>
          <w:lang w:eastAsia="zh-CN"/>
        </w:rPr>
        <w:t>适用范围</w:t>
      </w:r>
    </w:p>
    <w:p w14:paraId="0E662273">
      <w:pPr>
        <w:keepNext w:val="0"/>
        <w:keepLines w:val="0"/>
        <w:pageBreakBefore w:val="0"/>
        <w:widowControl w:val="0"/>
        <w:tabs>
          <w:tab w:val="left" w:pos="885"/>
        </w:tabs>
        <w:kinsoku/>
        <w:wordWrap/>
        <w:overflowPunct/>
        <w:topLinePunct w:val="0"/>
        <w:autoSpaceDE/>
        <w:autoSpaceDN/>
        <w:bidi w:val="0"/>
        <w:adjustRightInd/>
        <w:snapToGrid/>
        <w:spacing w:line="552" w:lineRule="exact"/>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lang w:val="en-US" w:eastAsia="zh-CN"/>
        </w:rPr>
        <w:t>本次优化调整适用于发电企业承诺全容量并网时间为2025年6月1日及以后的新能源项目。原《</w:t>
      </w:r>
      <w:r>
        <w:rPr>
          <w:rFonts w:hint="eastAsia" w:ascii="宋体" w:hAnsi="宋体" w:eastAsia="仿宋"/>
          <w:color w:val="auto"/>
          <w:sz w:val="32"/>
          <w:szCs w:val="32"/>
          <w:highlight w:val="none"/>
          <w:lang w:val="en-US" w:eastAsia="zh-CN"/>
        </w:rPr>
        <w:t>云南省集中式新能源项目全容量并网时间技术认定指南</w:t>
      </w:r>
      <w:r>
        <w:rPr>
          <w:rFonts w:hint="eastAsia" w:ascii="宋体" w:hAnsi="宋体" w:eastAsia="方正仿宋_GBK" w:cs="方正仿宋_GBK"/>
          <w:sz w:val="32"/>
          <w:szCs w:val="32"/>
          <w:lang w:val="en-US" w:eastAsia="zh-CN"/>
        </w:rPr>
        <w:t>》不再执行使用。</w:t>
      </w:r>
      <w:r>
        <w:rPr>
          <w:rFonts w:hint="eastAsia" w:ascii="宋体" w:hAnsi="宋体" w:eastAsia="方正仿宋_GBK" w:cs="方正仿宋_GBK"/>
          <w:sz w:val="32"/>
          <w:szCs w:val="32"/>
          <w:lang w:eastAsia="zh-CN"/>
        </w:rPr>
        <w:t>政策实施过程中如遇国家、省政府出台最新相关政策要求的，从其规定。</w:t>
      </w:r>
    </w:p>
    <w:p w14:paraId="745F911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宋体" w:hAnsi="宋体" w:eastAsia="方正仿宋_GBK" w:cs="方正仿宋_GBK"/>
          <w:sz w:val="32"/>
          <w:szCs w:val="32"/>
          <w:lang w:eastAsia="zh-CN"/>
        </w:rPr>
      </w:pPr>
    </w:p>
    <w:p w14:paraId="367A1B44">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640" w:firstLineChars="200"/>
        <w:jc w:val="both"/>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附件：项目全容量并网承诺书</w:t>
      </w:r>
    </w:p>
    <w:p w14:paraId="6822E93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宋体" w:hAnsi="宋体" w:eastAsia="方正仿宋_GBK" w:cs="方正仿宋_GBK"/>
          <w:sz w:val="32"/>
          <w:szCs w:val="32"/>
          <w:lang w:val="en-US" w:eastAsia="zh-CN"/>
        </w:rPr>
      </w:pPr>
    </w:p>
    <w:p w14:paraId="6116A7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宋体" w:hAnsi="宋体" w:eastAsia="方正仿宋_GBK" w:cs="方正仿宋_GBK"/>
          <w:sz w:val="32"/>
          <w:szCs w:val="32"/>
          <w:lang w:val="en-US" w:eastAsia="zh-CN"/>
        </w:rPr>
      </w:pPr>
    </w:p>
    <w:p w14:paraId="2849A8D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center"/>
        <w:textAlignment w:val="auto"/>
        <w:rPr>
          <w:rFonts w:hint="eastAsia" w:ascii="宋体" w:hAnsi="宋体" w:eastAsia="方正仿宋_GBK" w:cs="方正仿宋_GBK"/>
          <w:sz w:val="32"/>
          <w:szCs w:val="32"/>
          <w:lang w:val="en-US" w:eastAsia="zh-CN"/>
        </w:rPr>
      </w:pPr>
    </w:p>
    <w:p w14:paraId="143ACC03">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4480" w:firstLineChars="1400"/>
        <w:jc w:val="center"/>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云南省能源局</w:t>
      </w:r>
    </w:p>
    <w:p w14:paraId="1F988B57">
      <w:pPr>
        <w:keepNext w:val="0"/>
        <w:keepLines w:val="0"/>
        <w:pageBreakBefore w:val="0"/>
        <w:widowControl w:val="0"/>
        <w:numPr>
          <w:ilvl w:val="0"/>
          <w:numId w:val="0"/>
        </w:numPr>
        <w:kinsoku/>
        <w:wordWrap/>
        <w:overflowPunct/>
        <w:topLinePunct w:val="0"/>
        <w:autoSpaceDE/>
        <w:autoSpaceDN/>
        <w:bidi w:val="0"/>
        <w:adjustRightInd/>
        <w:snapToGrid/>
        <w:spacing w:line="552" w:lineRule="exact"/>
        <w:ind w:left="0" w:leftChars="0" w:firstLine="4480" w:firstLineChars="1400"/>
        <w:jc w:val="center"/>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2026年5月27日</w:t>
      </w:r>
    </w:p>
    <w:p w14:paraId="447E1557">
      <w:pPr>
        <w:keepNext w:val="0"/>
        <w:keepLines w:val="0"/>
        <w:pageBreakBefore w:val="0"/>
        <w:widowControl w:val="0"/>
        <w:numPr>
          <w:ilvl w:val="0"/>
          <w:numId w:val="0"/>
        </w:numPr>
        <w:kinsoku/>
        <w:wordWrap/>
        <w:overflowPunct/>
        <w:topLinePunct w:val="0"/>
        <w:autoSpaceDE/>
        <w:autoSpaceDN/>
        <w:bidi w:val="0"/>
        <w:adjustRightInd/>
        <w:snapToGrid/>
        <w:spacing w:line="606" w:lineRule="exact"/>
        <w:jc w:val="both"/>
        <w:textAlignment w:val="auto"/>
        <w:rPr>
          <w:rFonts w:hint="eastAsia" w:ascii="宋体" w:hAnsi="宋体" w:eastAsia="方正黑体_GBK" w:cs="方正黑体_GBK"/>
          <w:sz w:val="32"/>
          <w:szCs w:val="32"/>
          <w:lang w:val="en-US" w:eastAsia="zh-CN"/>
        </w:rPr>
      </w:pPr>
      <w:r>
        <w:rPr>
          <w:rFonts w:hint="eastAsia" w:ascii="宋体" w:hAnsi="宋体" w:eastAsia="方正黑体_GBK" w:cs="方正黑体_GBK"/>
          <w:sz w:val="32"/>
          <w:szCs w:val="32"/>
          <w:lang w:val="en-US" w:eastAsia="zh-CN"/>
        </w:rPr>
        <w:br w:type="page"/>
      </w:r>
      <w:bookmarkStart w:id="0" w:name="_GoBack"/>
      <w:bookmarkEnd w:id="0"/>
      <w:r>
        <w:rPr>
          <w:rFonts w:hint="eastAsia" w:ascii="宋体" w:hAnsi="宋体" w:eastAsia="方正黑体_GBK" w:cs="方正黑体_GBK"/>
          <w:sz w:val="32"/>
          <w:szCs w:val="32"/>
          <w:lang w:val="en-US" w:eastAsia="zh-CN"/>
        </w:rPr>
        <w:t>附件</w:t>
      </w:r>
    </w:p>
    <w:p w14:paraId="43325FDF">
      <w:pPr>
        <w:keepNext w:val="0"/>
        <w:keepLines w:val="0"/>
        <w:pageBreakBefore w:val="0"/>
        <w:widowControl w:val="0"/>
        <w:numPr>
          <w:ilvl w:val="0"/>
          <w:numId w:val="0"/>
        </w:numPr>
        <w:kinsoku/>
        <w:wordWrap/>
        <w:overflowPunct/>
        <w:topLinePunct w:val="0"/>
        <w:autoSpaceDE/>
        <w:autoSpaceDN/>
        <w:bidi w:val="0"/>
        <w:adjustRightInd/>
        <w:snapToGrid/>
        <w:spacing w:line="606" w:lineRule="exact"/>
        <w:jc w:val="both"/>
        <w:textAlignment w:val="auto"/>
        <w:rPr>
          <w:rFonts w:hint="eastAsia" w:ascii="宋体" w:hAnsi="宋体" w:eastAsia="方正仿宋_GBK" w:cs="方正仿宋_GBK"/>
          <w:sz w:val="32"/>
          <w:szCs w:val="32"/>
          <w:lang w:val="en-US" w:eastAsia="zh-CN"/>
        </w:rPr>
      </w:pPr>
    </w:p>
    <w:p w14:paraId="5D2912AC">
      <w:pPr>
        <w:keepNext w:val="0"/>
        <w:keepLines w:val="0"/>
        <w:pageBreakBefore w:val="0"/>
        <w:widowControl w:val="0"/>
        <w:numPr>
          <w:ilvl w:val="0"/>
          <w:numId w:val="0"/>
        </w:numPr>
        <w:kinsoku/>
        <w:wordWrap/>
        <w:overflowPunct/>
        <w:topLinePunct w:val="0"/>
        <w:autoSpaceDE/>
        <w:autoSpaceDN/>
        <w:bidi w:val="0"/>
        <w:adjustRightInd/>
        <w:snapToGrid/>
        <w:spacing w:line="606" w:lineRule="exact"/>
        <w:jc w:val="center"/>
        <w:textAlignment w:val="auto"/>
        <w:rPr>
          <w:rFonts w:hint="eastAsia" w:ascii="宋体" w:hAnsi="宋体" w:eastAsia="方正小标宋_GBK" w:cs="方正小标宋_GBK"/>
          <w:sz w:val="44"/>
          <w:szCs w:val="44"/>
        </w:rPr>
      </w:pPr>
      <w:r>
        <w:rPr>
          <w:rFonts w:hint="eastAsia" w:ascii="宋体" w:hAnsi="宋体" w:eastAsia="方正小标宋_GBK" w:cs="方正小标宋_GBK"/>
          <w:sz w:val="44"/>
          <w:szCs w:val="44"/>
        </w:rPr>
        <w:t>XX（省级）发电集团</w:t>
      </w:r>
      <w:r>
        <w:rPr>
          <w:rFonts w:hint="eastAsia" w:ascii="宋体" w:hAnsi="宋体" w:eastAsia="方正小标宋_GBK" w:cs="方正小标宋_GBK"/>
          <w:sz w:val="44"/>
          <w:szCs w:val="44"/>
          <w:lang w:eastAsia="zh-CN"/>
        </w:rPr>
        <w:t>（公司）</w:t>
      </w:r>
      <w:r>
        <w:rPr>
          <w:rFonts w:hint="eastAsia" w:ascii="宋体" w:hAnsi="宋体" w:eastAsia="方正小标宋_GBK" w:cs="方正小标宋_GBK"/>
          <w:sz w:val="44"/>
          <w:szCs w:val="44"/>
        </w:rPr>
        <w:t>XX项目</w:t>
      </w:r>
    </w:p>
    <w:p w14:paraId="695DF6D4">
      <w:pPr>
        <w:keepNext w:val="0"/>
        <w:keepLines w:val="0"/>
        <w:pageBreakBefore w:val="0"/>
        <w:widowControl w:val="0"/>
        <w:numPr>
          <w:ilvl w:val="0"/>
          <w:numId w:val="0"/>
        </w:numPr>
        <w:kinsoku/>
        <w:wordWrap/>
        <w:overflowPunct/>
        <w:topLinePunct w:val="0"/>
        <w:autoSpaceDE/>
        <w:autoSpaceDN/>
        <w:bidi w:val="0"/>
        <w:adjustRightInd/>
        <w:snapToGrid/>
        <w:spacing w:line="606" w:lineRule="exact"/>
        <w:jc w:val="center"/>
        <w:textAlignment w:val="auto"/>
        <w:rPr>
          <w:rFonts w:hint="eastAsia" w:ascii="宋体" w:hAnsi="宋体" w:eastAsia="方正小标宋_GBK" w:cs="方正小标宋_GBK"/>
          <w:sz w:val="44"/>
          <w:szCs w:val="44"/>
        </w:rPr>
      </w:pPr>
      <w:r>
        <w:rPr>
          <w:rFonts w:hint="eastAsia" w:ascii="宋体" w:hAnsi="宋体" w:eastAsia="方正小标宋_GBK" w:cs="方正小标宋_GBK"/>
          <w:sz w:val="44"/>
          <w:szCs w:val="44"/>
        </w:rPr>
        <w:t>全容量并网承诺书</w:t>
      </w:r>
    </w:p>
    <w:p w14:paraId="6E2F005A">
      <w:pPr>
        <w:keepNext w:val="0"/>
        <w:keepLines w:val="0"/>
        <w:pageBreakBefore w:val="0"/>
        <w:widowControl w:val="0"/>
        <w:numPr>
          <w:ilvl w:val="0"/>
          <w:numId w:val="0"/>
        </w:numPr>
        <w:kinsoku/>
        <w:wordWrap/>
        <w:overflowPunct/>
        <w:topLinePunct w:val="0"/>
        <w:autoSpaceDE/>
        <w:autoSpaceDN/>
        <w:bidi w:val="0"/>
        <w:adjustRightInd/>
        <w:snapToGrid/>
        <w:spacing w:line="606" w:lineRule="exact"/>
        <w:jc w:val="center"/>
        <w:textAlignment w:val="auto"/>
        <w:rPr>
          <w:rFonts w:hint="eastAsia" w:ascii="宋体" w:hAnsi="宋体" w:eastAsia="方正小标宋_GBK" w:cs="方正小标宋_GBK"/>
          <w:sz w:val="44"/>
          <w:szCs w:val="44"/>
          <w:lang w:val="en-US" w:eastAsia="zh-CN"/>
        </w:rPr>
      </w:pPr>
    </w:p>
    <w:p w14:paraId="04F842D2">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我公司××项目（项目核准名称），核准容量××MW。我公司郑重承诺该项目已于××××年××月全容量并网。按《云南省能源局关于优化新能源项目全容量并网事宜的通知》要求，相关材料如下：</w:t>
      </w:r>
    </w:p>
    <w:p w14:paraId="6D483A51">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一、××项目（项目核准名称）发电业务许可证（证书编号：</w:t>
      </w:r>
      <w:r>
        <w:rPr>
          <w:rFonts w:hint="eastAsia" w:ascii="宋体" w:hAnsi="宋体" w:eastAsia="仿宋" w:cs="仿宋"/>
          <w:color w:val="auto"/>
          <w:sz w:val="28"/>
          <w:szCs w:val="28"/>
          <w:highlight w:val="none"/>
          <w:u w:val="single"/>
          <w:lang w:val="en-US" w:eastAsia="zh-CN"/>
        </w:rPr>
        <w:t xml:space="preserve">          </w:t>
      </w:r>
      <w:r>
        <w:rPr>
          <w:rFonts w:hint="eastAsia" w:ascii="宋体" w:hAnsi="宋体" w:eastAsia="方正仿宋_GBK" w:cs="方正仿宋_GBK"/>
          <w:sz w:val="32"/>
          <w:szCs w:val="32"/>
        </w:rPr>
        <w:t>）登记容量达到核准（备案）容量最后一台机组投产时间为：××××年××月。</w:t>
      </w:r>
    </w:p>
    <w:p w14:paraId="42AA4AE1">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二、××项目（项目核准名称）全容量（末批次）电力建设工程质量监督检查并网意见书登记时间为：××××年××月。</w:t>
      </w:r>
    </w:p>
    <w:p w14:paraId="53B3E39E">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三、××项目（项目核准名称）</w:t>
      </w:r>
      <w:r>
        <w:rPr>
          <w:rFonts w:hint="eastAsia" w:ascii="宋体" w:hAnsi="宋体" w:eastAsia="方正仿宋_GBK" w:cs="方正仿宋_GBK"/>
          <w:color w:val="auto"/>
          <w:sz w:val="32"/>
          <w:szCs w:val="32"/>
          <w:lang w:val="en-US" w:eastAsia="zh-CN"/>
        </w:rPr>
        <w:t>最后一台投产的</w:t>
      </w:r>
      <w:r>
        <w:rPr>
          <w:rFonts w:hint="eastAsia" w:ascii="宋体" w:hAnsi="宋体" w:eastAsia="方正仿宋_GBK" w:cs="方正仿宋_GBK"/>
          <w:color w:val="auto"/>
          <w:sz w:val="32"/>
          <w:szCs w:val="32"/>
        </w:rPr>
        <w:t>光伏逆变器</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color w:val="auto"/>
          <w:sz w:val="32"/>
          <w:szCs w:val="32"/>
        </w:rPr>
        <w:t>风电机组</w:t>
      </w:r>
      <w:r>
        <w:rPr>
          <w:rFonts w:hint="eastAsia" w:ascii="宋体" w:hAnsi="宋体" w:eastAsia="方正仿宋_GBK" w:cs="方正仿宋_GBK"/>
          <w:color w:val="auto"/>
          <w:sz w:val="32"/>
          <w:szCs w:val="32"/>
          <w:lang w:eastAsia="zh-CN"/>
        </w:rPr>
        <w:t>）</w:t>
      </w:r>
      <w:r>
        <w:rPr>
          <w:rFonts w:hint="eastAsia" w:ascii="宋体" w:hAnsi="宋体" w:eastAsia="方正仿宋_GBK" w:cs="方正仿宋_GBK"/>
          <w:sz w:val="32"/>
          <w:szCs w:val="32"/>
          <w:lang w:val="en-US" w:eastAsia="zh-CN"/>
        </w:rPr>
        <w:t>为</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集电线</w:t>
      </w:r>
      <w:r>
        <w:rPr>
          <w:rFonts w:hint="eastAsia" w:ascii="宋体" w:hAnsi="宋体" w:eastAsia="方正仿宋_GBK" w:cs="方正仿宋_GBK"/>
          <w:sz w:val="32"/>
          <w:szCs w:val="32"/>
        </w:rPr>
        <w:t>××光伏</w:t>
      </w:r>
      <w:r>
        <w:rPr>
          <w:rFonts w:hint="eastAsia" w:ascii="宋体" w:hAnsi="宋体" w:eastAsia="方正仿宋_GBK" w:cs="方正仿宋_GBK"/>
          <w:sz w:val="32"/>
          <w:szCs w:val="32"/>
          <w:lang w:val="en-US" w:eastAsia="zh-CN"/>
        </w:rPr>
        <w:t>方阵</w:t>
      </w:r>
      <w:r>
        <w:rPr>
          <w:rFonts w:hint="eastAsia" w:ascii="宋体" w:hAnsi="宋体" w:eastAsia="方正仿宋_GBK" w:cs="方正仿宋_GBK"/>
          <w:sz w:val="32"/>
          <w:szCs w:val="32"/>
        </w:rPr>
        <w:t>××</w:t>
      </w:r>
      <w:r>
        <w:rPr>
          <w:rFonts w:hint="eastAsia" w:ascii="宋体" w:hAnsi="宋体" w:eastAsia="方正仿宋_GBK" w:cs="方正仿宋_GBK"/>
          <w:sz w:val="32"/>
          <w:szCs w:val="32"/>
          <w:lang w:val="en-US" w:eastAsia="zh-CN"/>
        </w:rPr>
        <w:t>逆变器</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××风电机组</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其现场</w:t>
      </w:r>
      <w:r>
        <w:rPr>
          <w:rFonts w:hint="eastAsia" w:ascii="宋体" w:hAnsi="宋体" w:eastAsia="方正仿宋_GBK" w:cs="方正仿宋_GBK"/>
          <w:sz w:val="32"/>
          <w:szCs w:val="32"/>
        </w:rPr>
        <w:t>投产操作票</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操作票编号：</w:t>
      </w:r>
      <w:r>
        <w:rPr>
          <w:rFonts w:hint="eastAsia" w:ascii="宋体" w:hAnsi="宋体" w:eastAsia="仿宋" w:cs="仿宋"/>
          <w:color w:val="auto"/>
          <w:sz w:val="28"/>
          <w:szCs w:val="28"/>
          <w:highlight w:val="none"/>
          <w:u w:val="single"/>
          <w:lang w:val="en-US" w:eastAsia="zh-CN"/>
        </w:rPr>
        <w:t xml:space="preserve">         </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的</w:t>
      </w:r>
      <w:r>
        <w:rPr>
          <w:rFonts w:hint="eastAsia" w:ascii="宋体" w:hAnsi="宋体" w:eastAsia="方正仿宋_GBK" w:cs="方正仿宋_GBK"/>
          <w:sz w:val="32"/>
          <w:szCs w:val="32"/>
        </w:rPr>
        <w:t>操作</w:t>
      </w:r>
      <w:r>
        <w:rPr>
          <w:rFonts w:hint="eastAsia" w:ascii="宋体" w:hAnsi="宋体" w:eastAsia="方正仿宋_GBK" w:cs="方正仿宋_GBK"/>
          <w:sz w:val="32"/>
          <w:szCs w:val="32"/>
          <w:lang w:val="en-US" w:eastAsia="zh-CN"/>
        </w:rPr>
        <w:t>结束</w:t>
      </w:r>
      <w:r>
        <w:rPr>
          <w:rFonts w:hint="eastAsia" w:ascii="宋体" w:hAnsi="宋体" w:eastAsia="方正仿宋_GBK" w:cs="方正仿宋_GBK"/>
          <w:sz w:val="32"/>
          <w:szCs w:val="32"/>
        </w:rPr>
        <w:t>时间为：××××年××月××</w:t>
      </w:r>
      <w:r>
        <w:rPr>
          <w:rFonts w:hint="eastAsia" w:ascii="宋体" w:hAnsi="宋体" w:eastAsia="方正仿宋_GBK" w:cs="方正仿宋_GBK"/>
          <w:sz w:val="32"/>
          <w:szCs w:val="32"/>
          <w:lang w:val="en-US" w:eastAsia="zh-CN"/>
        </w:rPr>
        <w:t>日</w:t>
      </w:r>
      <w:r>
        <w:rPr>
          <w:rFonts w:hint="eastAsia" w:ascii="宋体" w:hAnsi="宋体" w:eastAsia="方正仿宋_GBK" w:cs="方正仿宋_GBK"/>
          <w:sz w:val="32"/>
          <w:szCs w:val="32"/>
        </w:rPr>
        <w:t>。</w:t>
      </w:r>
    </w:p>
    <w:p w14:paraId="25DD4C1F">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我公司承诺所提交的上述材料真实有效，不存在弄虚作假的情况。如出现因材料真实性问题而产生的一切后果，由我公司自行承担。</w:t>
      </w:r>
    </w:p>
    <w:p w14:paraId="43A64FE0">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特此承诺。</w:t>
      </w:r>
    </w:p>
    <w:p w14:paraId="67F49854">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640"/>
        <w:textAlignment w:val="auto"/>
        <w:rPr>
          <w:rFonts w:hint="eastAsia" w:ascii="宋体" w:hAnsi="宋体" w:eastAsia="方正仿宋_GBK" w:cs="方正仿宋_GBK"/>
          <w:sz w:val="32"/>
          <w:szCs w:val="32"/>
          <w:lang w:val="en-US" w:eastAsia="zh-CN"/>
        </w:rPr>
      </w:pPr>
    </w:p>
    <w:p w14:paraId="5CAE685D">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2892" w:firstLineChars="904"/>
        <w:textAlignment w:val="auto"/>
        <w:rPr>
          <w:rFonts w:hint="eastAsia" w:ascii="宋体" w:hAnsi="宋体" w:eastAsia="方正仿宋_GBK" w:cs="方正仿宋_GBK"/>
          <w:sz w:val="32"/>
          <w:szCs w:val="32"/>
          <w:lang w:val="en-US" w:eastAsia="zh-CN"/>
        </w:rPr>
      </w:pPr>
    </w:p>
    <w:p w14:paraId="3C7EDEFB">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3520" w:firstLineChars="1100"/>
        <w:jc w:val="center"/>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（项目业主方负责人签字盖章）</w:t>
      </w:r>
    </w:p>
    <w:p w14:paraId="0185BCD6">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3520" w:firstLineChars="1100"/>
        <w:jc w:val="center"/>
        <w:textAlignment w:val="auto"/>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（项目上级集团公司负责人签字盖章）</w:t>
      </w:r>
    </w:p>
    <w:p w14:paraId="6065C88E">
      <w:pPr>
        <w:keepNext w:val="0"/>
        <w:keepLines w:val="0"/>
        <w:pageBreakBefore w:val="0"/>
        <w:widowControl w:val="0"/>
        <w:tabs>
          <w:tab w:val="left" w:pos="885"/>
        </w:tabs>
        <w:kinsoku/>
        <w:wordWrap/>
        <w:overflowPunct/>
        <w:topLinePunct w:val="0"/>
        <w:autoSpaceDE/>
        <w:autoSpaceDN/>
        <w:bidi w:val="0"/>
        <w:adjustRightInd/>
        <w:snapToGrid/>
        <w:spacing w:line="606" w:lineRule="exact"/>
        <w:ind w:firstLine="3520" w:firstLineChars="1100"/>
        <w:jc w:val="center"/>
        <w:textAlignment w:val="auto"/>
        <w:rPr>
          <w:rFonts w:hint="default"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年  月  日</w:t>
      </w:r>
    </w:p>
    <w:p w14:paraId="1997D201">
      <w:pPr>
        <w:rPr>
          <w:rFonts w:ascii="宋体" w:hAnsi="宋体"/>
        </w:rPr>
      </w:pPr>
    </w:p>
    <w:p w14:paraId="6AB633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center"/>
        <w:textAlignment w:val="auto"/>
        <w:rPr>
          <w:rFonts w:hint="eastAsia" w:ascii="宋体" w:hAnsi="宋体" w:eastAsia="方正仿宋_GBK" w:cs="方正仿宋_GBK"/>
          <w:sz w:val="32"/>
          <w:szCs w:val="32"/>
          <w:lang w:val="en-US" w:eastAsia="zh-CN"/>
        </w:rPr>
      </w:pPr>
    </w:p>
    <w:p w14:paraId="5BF42F8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宋体" w:hAnsi="宋体" w:eastAsia="方正仿宋_GBK" w:cs="方正仿宋_GBK"/>
          <w:sz w:val="32"/>
          <w:szCs w:val="32"/>
          <w:lang w:val="en-US" w:eastAsia="zh-CN"/>
        </w:rPr>
      </w:pPr>
    </w:p>
    <w:sectPr>
      <w:footerReference r:id="rId3" w:type="default"/>
      <w:pgSz w:w="11906" w:h="16838"/>
      <w:pgMar w:top="2098" w:right="1474" w:bottom="1984" w:left="1587"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DC95513-ECB1-4714-9A17-D87E4BBD476F}"/>
  </w:font>
  <w:font w:name="仿宋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2" w:fontKey="{D077D073-4934-4B10-B5E3-6E4986FC5A57}"/>
  </w:font>
  <w:font w:name="方正小标宋_GBK">
    <w:altName w:val="微软雅黑"/>
    <w:panose1 w:val="02000000000000000000"/>
    <w:charset w:val="86"/>
    <w:family w:val="script"/>
    <w:pitch w:val="default"/>
    <w:sig w:usb0="00000001" w:usb1="08000000" w:usb2="00000000" w:usb3="00000000" w:csb0="00040000" w:csb1="00000000"/>
    <w:embedRegular r:id="rId3" w:fontKey="{3911D8A6-32C8-4485-9F77-8824780A280F}"/>
  </w:font>
  <w:font w:name="方正楷体_GBK">
    <w:altName w:val="微软雅黑"/>
    <w:panose1 w:val="02000000000000000000"/>
    <w:charset w:val="86"/>
    <w:family w:val="script"/>
    <w:pitch w:val="default"/>
    <w:sig w:usb0="00000001" w:usb1="08000000" w:usb2="00000000" w:usb3="00000000" w:csb0="00040000" w:csb1="00000000"/>
    <w:embedRegular r:id="rId4" w:fontKey="{2155A3BD-0B4D-4A95-B5AD-4AF7D0554782}"/>
  </w:font>
  <w:font w:name="方正仿宋简体">
    <w:altName w:val="方正仿宋_GBK"/>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1" w:usb1="08000000" w:usb2="00000000" w:usb3="00000000" w:csb0="00040000" w:csb1="00000000"/>
    <w:embedRegular r:id="rId5" w:fontKey="{5CCB0D35-F231-45F8-927A-41A8565CAA1F}"/>
  </w:font>
  <w:font w:name="国标楷体-GB/T 2312">
    <w:altName w:val="宋体"/>
    <w:panose1 w:val="02000500000000000000"/>
    <w:charset w:val="86"/>
    <w:family w:val="auto"/>
    <w:pitch w:val="default"/>
    <w:sig w:usb0="00000001" w:usb1="08000000" w:usb2="00000000" w:usb3="00000000" w:csb0="00040000" w:csb1="00000000"/>
    <w:embedRegular r:id="rId6" w:fontKey="{D835109C-6770-4271-A1EC-1816201F6821}"/>
  </w:font>
  <w:font w:name="仿宋">
    <w:panose1 w:val="02010609060101010101"/>
    <w:charset w:val="86"/>
    <w:family w:val="modern"/>
    <w:pitch w:val="default"/>
    <w:sig w:usb0="800002BF" w:usb1="38CF7CFA" w:usb2="00000016" w:usb3="00000000" w:csb0="00040001" w:csb1="00000000"/>
    <w:embedRegular r:id="rId7" w:fontKey="{B68BD6B6-86D1-42BF-9039-D1958A7B98F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F4E0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62E81C">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1462E81C">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FF3B99"/>
    <w:rsid w:val="173E2C4B"/>
    <w:rsid w:val="1ABE2535"/>
    <w:rsid w:val="1FDB84E4"/>
    <w:rsid w:val="25FF4899"/>
    <w:rsid w:val="2CEF9FC0"/>
    <w:rsid w:val="2D7AA336"/>
    <w:rsid w:val="2EFE5ACA"/>
    <w:rsid w:val="2FC4D762"/>
    <w:rsid w:val="347B34CB"/>
    <w:rsid w:val="35335307"/>
    <w:rsid w:val="37F4C22D"/>
    <w:rsid w:val="38EF013C"/>
    <w:rsid w:val="38FA8B46"/>
    <w:rsid w:val="39BED100"/>
    <w:rsid w:val="39FF9636"/>
    <w:rsid w:val="3B4DA23D"/>
    <w:rsid w:val="3BF86CC5"/>
    <w:rsid w:val="3D77B4C6"/>
    <w:rsid w:val="3EFD0749"/>
    <w:rsid w:val="3FB5C26A"/>
    <w:rsid w:val="3FE0E74A"/>
    <w:rsid w:val="47D76C5C"/>
    <w:rsid w:val="49FB8F34"/>
    <w:rsid w:val="4CE72A45"/>
    <w:rsid w:val="4CF79F54"/>
    <w:rsid w:val="4FEDC9B8"/>
    <w:rsid w:val="555FEC25"/>
    <w:rsid w:val="5BBFF553"/>
    <w:rsid w:val="5BE9944E"/>
    <w:rsid w:val="5BFBFDD7"/>
    <w:rsid w:val="5D7F31BF"/>
    <w:rsid w:val="5F60A691"/>
    <w:rsid w:val="5FDFFB0B"/>
    <w:rsid w:val="5FFF8DCB"/>
    <w:rsid w:val="67EBF890"/>
    <w:rsid w:val="69FDDB37"/>
    <w:rsid w:val="6B6582E8"/>
    <w:rsid w:val="6B765ED1"/>
    <w:rsid w:val="6BCFC27C"/>
    <w:rsid w:val="6BF680EB"/>
    <w:rsid w:val="6DEFB394"/>
    <w:rsid w:val="6FB979D2"/>
    <w:rsid w:val="6FE231AE"/>
    <w:rsid w:val="6FE711AF"/>
    <w:rsid w:val="71BF75F5"/>
    <w:rsid w:val="73265EDE"/>
    <w:rsid w:val="73B65E67"/>
    <w:rsid w:val="73EF44AA"/>
    <w:rsid w:val="747FF140"/>
    <w:rsid w:val="75DC6FA0"/>
    <w:rsid w:val="75FF154D"/>
    <w:rsid w:val="76BD31C6"/>
    <w:rsid w:val="76C99A6E"/>
    <w:rsid w:val="77ABD174"/>
    <w:rsid w:val="77DDCC95"/>
    <w:rsid w:val="77DF7DD0"/>
    <w:rsid w:val="77EBE4EF"/>
    <w:rsid w:val="77EDED6D"/>
    <w:rsid w:val="77F6F51B"/>
    <w:rsid w:val="7833FCD3"/>
    <w:rsid w:val="797FCC93"/>
    <w:rsid w:val="7AE1E011"/>
    <w:rsid w:val="7B5E5FFD"/>
    <w:rsid w:val="7BCE9113"/>
    <w:rsid w:val="7BF93DA5"/>
    <w:rsid w:val="7BFE9243"/>
    <w:rsid w:val="7BFF02B3"/>
    <w:rsid w:val="7C97E15B"/>
    <w:rsid w:val="7D3D934C"/>
    <w:rsid w:val="7D3F615E"/>
    <w:rsid w:val="7DFF6A27"/>
    <w:rsid w:val="7EEF34E8"/>
    <w:rsid w:val="7EFBC2E9"/>
    <w:rsid w:val="7F5912DA"/>
    <w:rsid w:val="7F7B2E96"/>
    <w:rsid w:val="7FB09596"/>
    <w:rsid w:val="7FBAB065"/>
    <w:rsid w:val="7FBF8F3D"/>
    <w:rsid w:val="7FD5D2DA"/>
    <w:rsid w:val="7FDB7E50"/>
    <w:rsid w:val="7FE58F88"/>
    <w:rsid w:val="7FF5B2E5"/>
    <w:rsid w:val="7FF7881E"/>
    <w:rsid w:val="7FFB3CCB"/>
    <w:rsid w:val="7FFF910B"/>
    <w:rsid w:val="8E3D65EC"/>
    <w:rsid w:val="8F3E4017"/>
    <w:rsid w:val="9097BFBD"/>
    <w:rsid w:val="A5F71D21"/>
    <w:rsid w:val="A9FDAE7A"/>
    <w:rsid w:val="AB779666"/>
    <w:rsid w:val="AFFAB3C6"/>
    <w:rsid w:val="AFFF9258"/>
    <w:rsid w:val="AFFFF58B"/>
    <w:rsid w:val="B3AF06C9"/>
    <w:rsid w:val="B4BF2316"/>
    <w:rsid w:val="B73BA82D"/>
    <w:rsid w:val="B7673E5C"/>
    <w:rsid w:val="B7E7BE44"/>
    <w:rsid w:val="B7FF1DBE"/>
    <w:rsid w:val="B7FFC055"/>
    <w:rsid w:val="BA730E6C"/>
    <w:rsid w:val="BBF27AE4"/>
    <w:rsid w:val="BD9B9E69"/>
    <w:rsid w:val="BEF29909"/>
    <w:rsid w:val="BF77E9C9"/>
    <w:rsid w:val="BFE2C52B"/>
    <w:rsid w:val="BFEF9372"/>
    <w:rsid w:val="C5BA19E4"/>
    <w:rsid w:val="C7DF2144"/>
    <w:rsid w:val="CDFD04F1"/>
    <w:rsid w:val="CEB79DFA"/>
    <w:rsid w:val="CF7B4FBD"/>
    <w:rsid w:val="CFEE21B5"/>
    <w:rsid w:val="D1F54EC6"/>
    <w:rsid w:val="D397A090"/>
    <w:rsid w:val="D7DE1DD9"/>
    <w:rsid w:val="D9FF15A6"/>
    <w:rsid w:val="DABF03F8"/>
    <w:rsid w:val="DBB9B2D6"/>
    <w:rsid w:val="DD6E7E47"/>
    <w:rsid w:val="DDEF58F1"/>
    <w:rsid w:val="DEF91EFD"/>
    <w:rsid w:val="DEFF4B9D"/>
    <w:rsid w:val="DF9FD432"/>
    <w:rsid w:val="DFBD871B"/>
    <w:rsid w:val="DFDBA07C"/>
    <w:rsid w:val="DFFF21D9"/>
    <w:rsid w:val="E37C8565"/>
    <w:rsid w:val="E7775C9D"/>
    <w:rsid w:val="EAD691C7"/>
    <w:rsid w:val="EDFC3AF2"/>
    <w:rsid w:val="EE6EA08B"/>
    <w:rsid w:val="EE7DDF18"/>
    <w:rsid w:val="EF1FBA8C"/>
    <w:rsid w:val="EF7DB78E"/>
    <w:rsid w:val="EFBD12AA"/>
    <w:rsid w:val="EFCBEAC2"/>
    <w:rsid w:val="EFDB8269"/>
    <w:rsid w:val="F56F0E33"/>
    <w:rsid w:val="F5E59AC1"/>
    <w:rsid w:val="F69E55B6"/>
    <w:rsid w:val="F6BBF10F"/>
    <w:rsid w:val="F7519D56"/>
    <w:rsid w:val="F757B998"/>
    <w:rsid w:val="F7BE0A62"/>
    <w:rsid w:val="F7D5052D"/>
    <w:rsid w:val="F7DB67FA"/>
    <w:rsid w:val="F7DC80DC"/>
    <w:rsid w:val="F7FBD1E8"/>
    <w:rsid w:val="FADEFF18"/>
    <w:rsid w:val="FBF5EE9F"/>
    <w:rsid w:val="FD17D92C"/>
    <w:rsid w:val="FD7D9F44"/>
    <w:rsid w:val="FDF97A81"/>
    <w:rsid w:val="FE7A0502"/>
    <w:rsid w:val="FE7BC52E"/>
    <w:rsid w:val="FE7E06A9"/>
    <w:rsid w:val="FE9FA07B"/>
    <w:rsid w:val="FEAFDAC0"/>
    <w:rsid w:val="FEF879A5"/>
    <w:rsid w:val="FF39FA01"/>
    <w:rsid w:val="FF3F865C"/>
    <w:rsid w:val="FF7E8328"/>
    <w:rsid w:val="FF8F26B5"/>
    <w:rsid w:val="FF9FA9A2"/>
    <w:rsid w:val="FFB2CE50"/>
    <w:rsid w:val="FFEDE793"/>
    <w:rsid w:val="FFFDA444"/>
    <w:rsid w:val="FFFE5C54"/>
    <w:rsid w:val="FFFF23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line="576" w:lineRule="auto"/>
      <w:ind w:left="300" w:leftChars="300"/>
      <w:jc w:val="both"/>
      <w:outlineLvl w:val="0"/>
    </w:pPr>
    <w:rPr>
      <w:rFonts w:ascii="Times New Roman" w:hAnsi="Times New Roman" w:eastAsia="黑体" w:cs="Times New Roman"/>
      <w:kern w:val="56"/>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3">
    <w:name w:val="Date"/>
    <w:next w:val="1"/>
    <w:qFormat/>
    <w:uiPriority w:val="0"/>
    <w:pPr>
      <w:widowControl w:val="0"/>
      <w:jc w:val="both"/>
    </w:pPr>
    <w:rPr>
      <w:rFonts w:ascii="仿宋_GB2312" w:hAnsi="Calibri" w:eastAsia="仿宋_GB2312" w:cs="Times New Roman"/>
      <w:kern w:val="2"/>
      <w:sz w:val="32"/>
      <w:szCs w:val="20"/>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paragraph" w:customStyle="1" w:styleId="9">
    <w:name w:val="图表目录1"/>
    <w:basedOn w:val="10"/>
    <w:next w:val="10"/>
    <w:qFormat/>
    <w:uiPriority w:val="0"/>
    <w:pPr>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9"/>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2080</Words>
  <Characters>2109</Characters>
  <Lines>0</Lines>
  <Paragraphs>0</Paragraphs>
  <TotalTime>6.33333333333333</TotalTime>
  <ScaleCrop>false</ScaleCrop>
  <LinksUpToDate>false</LinksUpToDate>
  <CharactersWithSpaces>2155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2025-11-03T14:20:00Z</dcterms:created>
  <dc:creator>kylin</dc:creator>
  <cp:lastModifiedBy>刘增进</cp:lastModifiedBy>
  <cp:lastPrinted>2025-11-03T08:03:00Z</cp:lastPrinted>
  <dcterms:modified xsi:type="dcterms:W3CDTF">2026-06-04T11:46:35Z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8E72A976DBDB4E49B1A0B737FDC566E6_13</vt:lpwstr>
  </property>
  <property fmtid="{D5CDD505-2E9C-101B-9397-08002B2CF9AE}" pid="4" name="KSOTemplateDocerSaveRecord">
    <vt:lpwstr>eyJoZGlkIjoiMThiZWFiYzc2ODE1MjcyNGU2NGRiZDU1OGJmMzJiZmYiLCJ1c2VySWQiOiIxNzY2MDE5MzIwIn0=</vt:lpwstr>
  </property>
</Properties>
</file>